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ELECTRONIC FILING</w:t>
      </w:r>
    </w:p>
    <w:p>
      <w:pPr>
        <w:spacing w:before="0" w:after="0"/>
        <w:ind w:left="120"/>
        <w:jc w:val="both"/>
      </w:pPr>
      <w:r>
        <w:rPr>
          <w:rFonts w:ascii="Times New Roman" w:hAnsi="Times New Roman"/>
          <w:b/>
          <w:i w:val="false"/>
          <w:color w:val="000000"/>
          <w:sz w:val="22"/>
        </w:rPr>
        <w:t>199—14.1</w:t>
      </w:r>
      <w:r>
        <w:rPr>
          <w:rFonts w:ascii="Times New Roman" w:hAnsi="Times New Roman"/>
          <w:b/>
          <w:i w:val="false"/>
          <w:color w:val="000000"/>
          <w:sz w:val="22"/>
        </w:rPr>
        <w:t xml:space="preserve">(17A,476)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establish an electronic filing requirement, to identify exceptions to the electronic filing requirement, and to specify procedures regarding electronic filing and service of documents filed with or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199—14.2</w:t>
      </w:r>
      <w:r>
        <w:rPr>
          <w:rFonts w:ascii="Times New Roman" w:hAnsi="Times New Roman"/>
          <w:b/>
          <w:i w:val="false"/>
          <w:color w:val="000000"/>
          <w:sz w:val="22"/>
        </w:rPr>
        <w:t xml:space="preserve">(17A,476) </w:t>
      </w:r>
      <w:r>
        <w:rPr>
          <w:rFonts w:ascii="Times New Roman" w:hAnsi="Times New Roman"/>
          <w:b/>
          <w:i w:val="false"/>
          <w:color w:val="000000"/>
          <w:sz w:val="22"/>
        </w:rPr>
        <w:t xml:space="preserve">Scope and applicability of electronic filing requirement. </w:t>
      </w:r>
      <w:r>
        <w:rPr>
          <w:rFonts w:ascii="Times New Roman" w:hAnsi="Times New Roman"/>
          <w:b w:val="false"/>
          <w:i w:val="false"/>
          <w:color w:val="000000"/>
          <w:sz w:val="22"/>
        </w:rPr>
        <w:t>Electronic filing is mandatory, unless specifically excepted by these rules or the commission. The commission will accept filings electronically pursuant to the rules in this chapter and the commission’s published standards for electronic information, available on the commission’s website (</w:t>
      </w:r>
      <w:hyperlink r:id="rId4">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or from the commission’s customer service bureau, or as delineated in the commission order or other official statement requiring those filings.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199—14.3</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“Accepted for filing” </w:t>
      </w:r>
      <w:r>
        <w:rPr>
          <w:rFonts w:ascii="Times New Roman" w:hAnsi="Times New Roman"/>
          <w:b w:val="false"/>
          <w:i w:val="false"/>
          <w:color w:val="000000"/>
          <w:sz w:val="22"/>
        </w:rPr>
        <w:t>ordinarily means a filing will be published in the commission’s electronic filing system. Certain documents will be accepted for filing without being published in the commission’s electronic filing system. A filing that has been accepted for filing can be rejected if found not to comply with a commission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means the process of transmitting a document or collection of documents via the Internet to the commission’s electronic filing system for the purpose of submitting the document for commission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“EFS” </w:t>
      </w:r>
      <w:r>
        <w:rPr>
          <w:rFonts w:ascii="Times New Roman" w:hAnsi="Times New Roman"/>
          <w:b w:val="false"/>
          <w:i w:val="false"/>
          <w:color w:val="000000"/>
          <w:sz w:val="22"/>
        </w:rPr>
        <w:t>means the system used by the commission’s customer service bureau to accept and publish documents filed electronically, and that allows the public and parties to view most documents filed with or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“Guest user” </w:t>
      </w:r>
      <w:r>
        <w:rPr>
          <w:rFonts w:ascii="Times New Roman" w:hAnsi="Times New Roman"/>
          <w:b w:val="false"/>
          <w:i w:val="false"/>
          <w:color w:val="000000"/>
          <w:sz w:val="22"/>
        </w:rPr>
        <w:t>means a person who uses EFS without a user ID and password. Guest users are able to view and file documents via 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“Publish” </w:t>
      </w:r>
      <w:r>
        <w:rPr>
          <w:rFonts w:ascii="Times New Roman" w:hAnsi="Times New Roman"/>
          <w:b w:val="false"/>
          <w:i w:val="false"/>
          <w:color w:val="000000"/>
          <w:sz w:val="22"/>
        </w:rPr>
        <w:t>means to make a document available for public viewing or download by uploading it to 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 xml:space="preserve">means a person who has complied with the commission’s requirements in rule </w:t>
      </w:r>
      <w:hyperlink r:id="rId5">
        <w:r>
          <w:rPr>
            <w:rStyle w:val="Hyperlink"/>
            <w:rFonts w:ascii="Times New Roman" w:hAnsi="Times New Roman"/>
            <w:b w:val="false"/>
            <w:i w:val="false"/>
            <w:color w:val="000000"/>
            <w:sz w:val="22"/>
          </w:rPr>
          <w:t>199—14.6</w:t>
        </w:r>
      </w:hyperlink>
      <w:r>
        <w:rPr>
          <w:rFonts w:ascii="Times New Roman" w:hAnsi="Times New Roman"/>
          <w:b w:val="false"/>
          <w:i w:val="false"/>
          <w:color w:val="000000"/>
          <w:sz w:val="22"/>
        </w:rPr>
        <w:t>(17A,476) to obtain a user ID and password in order to submit filings for the commission’s consideration through EFS.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199—14.4</w:t>
      </w:r>
      <w:r>
        <w:rPr>
          <w:rFonts w:ascii="Times New Roman" w:hAnsi="Times New Roman"/>
          <w:b/>
          <w:i w:val="false"/>
          <w:color w:val="000000"/>
          <w:sz w:val="22"/>
        </w:rPr>
        <w:t xml:space="preserve">(17A,476) </w:t>
      </w:r>
      <w:r>
        <w:rPr>
          <w:rFonts w:ascii="Times New Roman" w:hAnsi="Times New Roman"/>
          <w:b/>
          <w:i w:val="false"/>
          <w:color w:val="000000"/>
          <w:sz w:val="22"/>
        </w:rPr>
        <w:t xml:space="preserve">Exceptions. </w:t>
      </w:r>
      <w:r>
        <w:rPr>
          <w:rFonts w:ascii="Times New Roman" w:hAnsi="Times New Roman"/>
          <w:b w:val="false"/>
          <w:i w:val="false"/>
          <w:color w:val="000000"/>
          <w:sz w:val="22"/>
        </w:rPr>
        <w:t>The following types of filings are not subject to the electronic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val="false"/>
          <w:color w:val="000000"/>
          <w:sz w:val="22"/>
        </w:rPr>
        <w:t>Filings made by any person who has been excused from the requirement by commission order granting a request for permission to file paper documents. Upon request, the commission may issue an order granting permission to file paper documents and specifying the number of paper copies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val="false"/>
          <w:color w:val="000000"/>
          <w:sz w:val="22"/>
        </w:rPr>
        <w:t>Informal consumer complaints. Consumers may submit complaints electronically by using the online complaint form available on the commission’s website or by email; on paper by mail or facsimile; or by personally delivering the written complaint to the commission’s customer service bureau. Informal consumer complaint files are available for public inspection from the commission’s customer service bureau. An informal complaint file will be made available for public viewing in EFS, to the extent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val="false"/>
          <w:color w:val="000000"/>
          <w:sz w:val="22"/>
        </w:rPr>
        <w:t>Written objections to applications for electric transmission line franchises, pipeline permits, or hazardous liquid pipeline permits. Written objections in these cases may be submitted through EFS or may be submitted on the commission’s website, by email, by post, or in person. Electronic filing of objections is preferred. A suggested objection form is available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w:t>
      </w:r>
      <w:r>
        <w:rPr>
          <w:rFonts w:ascii="Times New Roman" w:hAnsi="Times New Roman"/>
          <w:b w:val="false"/>
          <w:i w:val="false"/>
          <w:color w:val="000000"/>
          <w:sz w:val="22"/>
        </w:rPr>
        <w:t> </w:t>
      </w:r>
      <w:r>
        <w:rPr>
          <w:rFonts w:ascii="Times New Roman" w:hAnsi="Times New Roman"/>
          <w:b w:val="false"/>
          <w:i w:val="false"/>
          <w:color w:val="000000"/>
          <w:sz w:val="22"/>
        </w:rPr>
        <w:t>Comments from persons in any other proceeding in which comments from the public are permitted. Persons may submit comments through EFS pursuant to these rules, by using any applicable online comment form available on the commission’s website, by email, or by letter. Comments from persons will ordinarily be published in EFS.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199—14.5</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filing procedures and formats. </w:t>
      </w:r>
      <w:r>
        <w:rPr>
          <w:rFonts w:ascii="Times New Roman" w:hAnsi="Times New Roman"/>
          <w:b w:val="false"/>
          <w:i w:val="false"/>
          <w:color w:val="000000"/>
          <w:sz w:val="22"/>
        </w:rPr>
        <w:t>Electronic documents shall be filed in accordance with the following procedures and formats: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make infrequent filings with the commission may file as a guest user. Persons who make regular filings with the commission may register to obtain a user ID and password pursuant to registration procedures specified in rule </w:t>
      </w:r>
      <w:hyperlink r:id="rId6">
        <w:r>
          <w:rPr>
            <w:rStyle w:val="Hyperlink"/>
            <w:rFonts w:ascii="Times New Roman" w:hAnsi="Times New Roman"/>
            <w:b w:val="false"/>
            <w:i w:val="false"/>
            <w:color w:val="000000"/>
            <w:sz w:val="22"/>
          </w:rPr>
          <w:t>199—14.6</w:t>
        </w:r>
      </w:hyperlink>
      <w:r>
        <w:rPr>
          <w:rFonts w:ascii="Times New Roman" w:hAnsi="Times New Roman"/>
          <w:b w:val="false"/>
          <w:i w:val="false"/>
          <w:color w:val="000000"/>
          <w:sz w:val="22"/>
        </w:rPr>
        <w:t>(17A,476). The commission may direct an infrequent filer to become a registered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Electronic filings are made by uploading a document or collection of documents into EFS. Emailing a document to the commission does not constitute filing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A filer should provide all necessary information when electronically filing a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Electronically filed documents are to be named in a way that accurately describes the contents of each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w:t>
      </w:r>
      <w:r>
        <w:rPr>
          <w:rFonts w:ascii="Times New Roman" w:hAnsi="Times New Roman"/>
          <w:b w:val="false"/>
          <w:i w:val="false"/>
          <w:color w:val="000000"/>
          <w:sz w:val="22"/>
        </w:rPr>
        <w:t> </w:t>
      </w:r>
      <w:r>
        <w:rPr>
          <w:rFonts w:ascii="Times New Roman" w:hAnsi="Times New Roman"/>
          <w:b w:val="false"/>
          <w:i w:val="false"/>
          <w:color w:val="000000"/>
          <w:sz w:val="22"/>
        </w:rPr>
        <w:t>All documents are to be formatted in accordance with the commission’s standards for electronic information, which are available on the commission’s website or from the commission’s customer service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14.5(6)</w:t>
      </w:r>
      <w:r>
        <w:rPr>
          <w:rFonts w:ascii="Times New Roman" w:hAnsi="Times New Roman"/>
          <w:b w:val="false"/>
          <w:i w:val="false"/>
          <w:color w:val="000000"/>
          <w:sz w:val="22"/>
        </w:rPr>
        <w:t> </w:t>
      </w:r>
      <w:r>
        <w:rPr>
          <w:rFonts w:ascii="Times New Roman" w:hAnsi="Times New Roman"/>
          <w:b w:val="false"/>
          <w:i w:val="false"/>
          <w:color w:val="000000"/>
          <w:sz w:val="22"/>
        </w:rPr>
        <w:t>Any text-based document that has been scanned for electronic filing should be full-text searchable to the extent that is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14.5(7)</w:t>
      </w:r>
      <w:r>
        <w:rPr>
          <w:rFonts w:ascii="Times New Roman" w:hAnsi="Times New Roman"/>
          <w:b w:val="false"/>
          <w:i w:val="false"/>
          <w:color w:val="000000"/>
          <w:sz w:val="22"/>
        </w:rPr>
        <w:t> </w:t>
      </w:r>
      <w:r>
        <w:rPr>
          <w:rFonts w:ascii="Times New Roman" w:hAnsi="Times New Roman"/>
          <w:b w:val="false"/>
          <w:i w:val="false"/>
          <w:color w:val="000000"/>
          <w:sz w:val="22"/>
        </w:rPr>
        <w:t>Spreadsheets and databases included in filings shall include all cell formulae and cell references. Spreadsheets with macros will not be accepted. Where a filer requests confidential treatment of cell formulae and cell references or any other information included in a spreadsheet or database, the filer may file a request for confidential treatment and two versions of the document: a public version of the document with the cell formulae deactivated and other confidential information redacted and a version not for publication containing live formulae and the information for which confidential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14.5(8)</w:t>
      </w:r>
      <w:r>
        <w:rPr>
          <w:rFonts w:ascii="Times New Roman" w:hAnsi="Times New Roman"/>
          <w:b w:val="false"/>
          <w:i w:val="false"/>
          <w:color w:val="000000"/>
          <w:sz w:val="22"/>
        </w:rPr>
        <w:t> </w:t>
      </w:r>
      <w:r>
        <w:rPr>
          <w:rFonts w:ascii="Times New Roman" w:hAnsi="Times New Roman"/>
          <w:b w:val="false"/>
          <w:i w:val="false"/>
          <w:color w:val="000000"/>
          <w:sz w:val="22"/>
        </w:rPr>
        <w:t>Hyperlinks and other navigational aids may be included in an electronically filed document. Each hyperlink should contain a text reference to the target of the link. Although hyperlinks may be included in a document as an aid to the reader, the material referred to by the hyperlinks is not considered part of the official record or filing unless the referenced material itself is filed (e.g., hyperlinking a document previously filed in EFS). Hyperlinks to cited authority do not replace standard citation format for constitutional citations, statutes, cases, rules, or other similarly cited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14.5(9)</w:t>
      </w:r>
      <w:r>
        <w:rPr>
          <w:rFonts w:ascii="Times New Roman" w:hAnsi="Times New Roman"/>
          <w:b w:val="false"/>
          <w:i w:val="false"/>
          <w:color w:val="000000"/>
          <w:sz w:val="22"/>
        </w:rPr>
        <w:t> </w:t>
      </w:r>
      <w:r>
        <w:rPr>
          <w:rFonts w:ascii="Times New Roman" w:hAnsi="Times New Roman"/>
          <w:b w:val="false"/>
          <w:i w:val="false"/>
          <w:color w:val="000000"/>
          <w:sz w:val="22"/>
        </w:rPr>
        <w:t>EFS will display an “Upload Complete” notice when the upload of the filing is completed. If the “Upload Complete—Filing Submitted” notice does not appear, the filer may contact the commission’s customer service bureau during regular business hours to determine the status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14.5(10)</w:t>
      </w:r>
      <w:r>
        <w:rPr>
          <w:rFonts w:ascii="Times New Roman" w:hAnsi="Times New Roman"/>
          <w:b w:val="false"/>
          <w:i w:val="false"/>
          <w:color w:val="000000"/>
          <w:sz w:val="22"/>
        </w:rPr>
        <w:t> </w:t>
      </w:r>
      <w:r>
        <w:rPr>
          <w:rFonts w:ascii="Times New Roman" w:hAnsi="Times New Roman"/>
          <w:b w:val="false"/>
          <w:i w:val="false"/>
          <w:color w:val="000000"/>
          <w:sz w:val="22"/>
        </w:rPr>
        <w:t>After reviewing the filing, the commission’s customer service bureau will either accept or reject the filing. If the filing is accepted, the document (if not confidential) will be published in EFS, and an electronic file stamp indicating the docket number(s) and date of filing will be added to the published document. A Notice of Electronic Filing containing a link to the filing will be sent by email to the filer and to all parties identified on the service list as able to receive electronic service. From the link, the recipient of the notice can view the filing. Where a document is accompanied by a request for confidential treatment, the filing will include the public version of the document, in which information identified as confidential has been redacted. Where a filing consists only of a confidential document, such as a response to a commission survey or other inquiry, that the commission has deemed confidential pursuant to an order requiring the response, the document will not be published. Acceptance of a document for filing is not a final determination that the document complies with all commission requirements and is not a waiver of such requirements. If a filing is rejected, a Notice of Rejection explaining why the filing has been rejected will be sent by email to the filer, or the filer will be contacted by other appropriate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14.5(11)</w:t>
      </w:r>
      <w:r>
        <w:rPr>
          <w:rFonts w:ascii="Times New Roman" w:hAnsi="Times New Roman"/>
          <w:b w:val="false"/>
          <w:i w:val="false"/>
          <w:color w:val="000000"/>
          <w:sz w:val="22"/>
        </w:rPr>
        <w:t> </w:t>
      </w:r>
      <w:r>
        <w:rPr>
          <w:rFonts w:ascii="Times New Roman" w:hAnsi="Times New Roman"/>
          <w:b w:val="false"/>
          <w:i w:val="false"/>
          <w:color w:val="000000"/>
          <w:sz w:val="22"/>
        </w:rPr>
        <w:t>Errors. If a filer discovers an error in the electronic filing or publishing of a document, the filer should contact the commission’s customer service bureau as soon as possible. The customer service bureau will review the situation and advise the filing party how the error will be addressed by the customer service bureau and what further action by the filer may be necessary, including a revised filing with the commission. Ordinarily, any modification to an EFS filing will require a revised filing in EFS. If errors in the filing or publishing of a document are discovered by the commission’s customer service bureau, commission staff will ordinarily notify the filer of the error and advise the filer of what further action, if any, is necessary to address the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14.5(12)</w:t>
      </w:r>
      <w:r>
        <w:rPr>
          <w:rFonts w:ascii="Times New Roman" w:hAnsi="Times New Roman"/>
          <w:b w:val="false"/>
          <w:i w:val="false"/>
          <w:color w:val="000000"/>
          <w:sz w:val="22"/>
        </w:rPr>
        <w:t> </w:t>
      </w:r>
      <w:r>
        <w:rPr>
          <w:rFonts w:ascii="Times New Roman" w:hAnsi="Times New Roman"/>
          <w:b w:val="false"/>
          <w:i w:val="false"/>
          <w:color w:val="000000"/>
          <w:sz w:val="22"/>
        </w:rPr>
        <w:t>Electronic documents and the hearing process. Any prefiled testimony or exhibit that is altered or corrected at the hearing in any way and admitted into evidence, and any paper documents that are newly admitted into evidence as exhibits at the hearing, must be electronically filed at the earliest opportunity but no later than three business days after the material is admitted into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199—14.6</w:t>
      </w:r>
      <w:r>
        <w:rPr>
          <w:rFonts w:ascii="Times New Roman" w:hAnsi="Times New Roman"/>
          <w:b/>
          <w:i w:val="false"/>
          <w:color w:val="000000"/>
          <w:sz w:val="22"/>
        </w:rPr>
        <w:t xml:space="preserve">(17A,476) </w:t>
      </w:r>
      <w:r>
        <w:rPr>
          <w:rFonts w:ascii="Times New Roman" w:hAnsi="Times New Roman"/>
          <w:b/>
          <w:i w:val="false"/>
          <w:color w:val="000000"/>
          <w:sz w:val="22"/>
        </w:rPr>
        <w:t xml:space="preserve">Registration. </w:t>
      </w:r>
      <w:r>
        <w:rPr>
          <w:rFonts w:ascii="Times New Roman" w:hAnsi="Times New Roman"/>
          <w:b w:val="false"/>
          <w:i w:val="false"/>
          <w:color w:val="000000"/>
          <w:sz w:val="22"/>
        </w:rPr>
        <w:t>A person may become a registered user by completing the registration form, which is available on the commission’s website, and obtaining a user ID and password. If a user believes the security of an existing password has been compromised, the user should change the password immediately and may contact the commission’s customer service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199—14.7</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record. </w:t>
      </w:r>
      <w:r>
        <w:rPr>
          <w:rFonts w:ascii="Times New Roman" w:hAnsi="Times New Roman"/>
          <w:b w:val="false"/>
          <w:i w:val="false"/>
          <w:color w:val="000000"/>
          <w:sz w:val="22"/>
        </w:rPr>
        <w:t>The official agency record in any proceeding is the electronic record maintained in EFS and any paper filings accepted by the commission that are not stored in electronic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199—14.8</w:t>
      </w:r>
      <w:r>
        <w:rPr>
          <w:rFonts w:ascii="Times New Roman" w:hAnsi="Times New Roman"/>
          <w:b/>
          <w:i w:val="false"/>
          <w:color w:val="000000"/>
          <w:sz w:val="22"/>
        </w:rPr>
        <w:t xml:space="preserve">(17A,476) </w:t>
      </w:r>
      <w:r>
        <w:rPr>
          <w:rFonts w:ascii="Times New Roman" w:hAnsi="Times New Roman"/>
          <w:b/>
          <w:i w:val="false"/>
          <w:color w:val="000000"/>
          <w:sz w:val="22"/>
        </w:rPr>
        <w:t xml:space="preserve">Maps, plan and profile drawings, and other oversized documents. </w:t>
      </w:r>
      <w:r>
        <w:rPr>
          <w:rFonts w:ascii="Times New Roman" w:hAnsi="Times New Roman"/>
          <w:b w:val="false"/>
          <w:i w:val="false"/>
          <w:color w:val="000000"/>
          <w:sz w:val="22"/>
        </w:rPr>
        <w:t xml:space="preserve">Any map, plan and profile drawing, or oversized document that is to be filed with the commission should be electronically filed as a PDF (Portable Document Format) or such electronic format as designated by the commission. If the map, drawing, or oversized document cannot be printed on 11- by 17-inch or smaller-sized paper in legible and usable form, as determined by the commission, the original and four paper copies of each map, drawing, or other document filed pursuant to this rule should also be filed unless more copies are directed by commission order or request. Maps and other documents should be drawn to a scale appropriate for the level of detail to be shown. However, if the map, drawing, or other document is not electronically filed, then the number of paper copies filed is governed by other applicable rules, including the “hearings” rule in </w:t>
      </w:r>
      <w:hyperlink r:id="rId7">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which concerns the required number of copies for evidence introduced at hearing, and </w:t>
      </w:r>
      <w:hyperlink r:id="rId8">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 which contains additional requirements regarding the number of paper copies of minimum filing requirements required to be filed in rate and tariff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199—14.9</w:t>
      </w:r>
      <w:r>
        <w:rPr>
          <w:rFonts w:ascii="Times New Roman" w:hAnsi="Times New Roman"/>
          <w:b/>
          <w:i w:val="false"/>
          <w:color w:val="000000"/>
          <w:sz w:val="22"/>
        </w:rPr>
        <w:t xml:space="preserve">(17A,476) </w:t>
      </w:r>
      <w:r>
        <w:rPr>
          <w:rFonts w:ascii="Times New Roman" w:hAnsi="Times New Roman"/>
          <w:b/>
          <w:i w:val="false"/>
          <w:color w:val="000000"/>
          <w:sz w:val="22"/>
        </w:rPr>
        <w:t xml:space="preserve">When electronic filings can be made; official filing date. </w:t>
      </w:r>
      <w:r>
        <w:rPr>
          <w:rFonts w:ascii="Times New Roman" w:hAnsi="Times New Roman"/>
          <w:b w:val="false"/>
          <w:i w:val="false"/>
          <w:color w:val="000000"/>
          <w:sz w:val="22"/>
        </w:rPr>
        <w:t>Unless otherwise ordered, an electronic filing can be made at any time outside of any maintenance periods during which the system will not be available. The Notice of Electronic Filing generated when the document is accepted for filing will record the date of the filing of the document, which will be the official filing date of the document. Documents uploaded into EFS by 3:30 p.m. central time on a business day, if accepted for filing, will be considered filed on that day. Documents uploaded into EFS after 3:30 p.m. central time on a business day or at any time on a nonbusiness day may, if accepted, be considered filed on the next business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199—14.10</w:t>
      </w:r>
      <w:r>
        <w:rPr>
          <w:rFonts w:ascii="Times New Roman" w:hAnsi="Times New Roman"/>
          <w:b/>
          <w:i w:val="false"/>
          <w:color w:val="000000"/>
          <w:sz w:val="22"/>
        </w:rPr>
        <w:t xml:space="preserve">(17A,476) </w:t>
      </w:r>
      <w:r>
        <w:rPr>
          <w:rFonts w:ascii="Times New Roman" w:hAnsi="Times New Roman"/>
          <w:b/>
          <w:i w:val="false"/>
          <w:color w:val="000000"/>
          <w:sz w:val="22"/>
        </w:rPr>
        <w:t xml:space="preserve">EFS unavailability; technical difficulties. </w:t>
      </w:r>
      <w:r>
        <w:rPr>
          <w:rFonts w:ascii="Times New Roman" w:hAnsi="Times New Roman"/>
          <w:b w:val="false"/>
          <w:i w:val="false"/>
          <w:color w:val="000000"/>
          <w:sz w:val="22"/>
        </w:rPr>
        <w:t>Scheduled EFS maintenance and unscheduled EFS outages that are expected to last more than 30 minutes will be posted on the commission’s website. It is the responsibility of the filer to ensure that a document is timely filed to comply with jurisdictional deadlines. A technical failure of EFS, the filer’s own computer equipment, or any other part of the filing system will not excuse the filer from compliance with a jurisdictional filing deadline. If a filer is not able to meet a nonjurisdictional deadline because of a technical failure, the filer should, by the earliest available conventional or electronic means, file the document and seek appropriate relief from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199—14.11</w:t>
      </w:r>
      <w:r>
        <w:rPr>
          <w:rFonts w:ascii="Times New Roman" w:hAnsi="Times New Roman"/>
          <w:b/>
          <w:i w:val="false"/>
          <w:color w:val="000000"/>
          <w:sz w:val="22"/>
        </w:rPr>
        <w:t xml:space="preserve">(17A,476) </w:t>
      </w:r>
      <w:r>
        <w:rPr>
          <w:rFonts w:ascii="Times New Roman" w:hAnsi="Times New Roman"/>
          <w:b/>
          <w:i w:val="false"/>
          <w:color w:val="000000"/>
          <w:sz w:val="22"/>
        </w:rPr>
        <w:t xml:space="preserve">Documents containing confidential material. </w:t>
      </w:r>
      <w:r>
        <w:rPr>
          <w:rFonts w:ascii="Times New Roman" w:hAnsi="Times New Roman"/>
          <w:b w:val="false"/>
          <w:i w:val="false"/>
          <w:color w:val="000000"/>
          <w:sz w:val="22"/>
        </w:rPr>
        <w:t xml:space="preserve">Confidential documents will not be published in EFS. When filing a document containing confidential information, a person shall file one public version of the document with the confidential information redacted according to the commission’s standards for electronic information and one version of the document containing the confidential information. The two versions of the document should be named according to the following convention: “Document Title—Public” and “Document Title—Confidential.” It is the responsibility of the person submitting a public version of the electronic document to take appropriate measures to ensure that any embedded information for which confidential treatment is sought is nonviewable, nonsearchable, and nonreversible. Each page of the confidential version of the document shall be marked in a way that identifies it as belonging to the confidential version of the document. The confidential material itself is to be highlighted or otherwise distinguished on the page to identify what specific information is confidential. A filing including a document the filer asserts contains confidential information is also to include a separate document containing the request for confidential treatment pursuant to </w:t>
      </w:r>
      <w:hyperlink r:id="rId9">
        <w:r>
          <w:rPr>
            <w:rStyle w:val="Hyperlink"/>
            <w:rFonts w:ascii="Times New Roman" w:hAnsi="Times New Roman"/>
            <w:b w:val="false"/>
            <w:i w:val="false"/>
            <w:color w:val="000000"/>
            <w:sz w:val="22"/>
          </w:rPr>
          <w:t>199—Chapter 1</w:t>
        </w:r>
      </w:hyperlink>
      <w:r>
        <w:rPr>
          <w:rFonts w:ascii="Times New Roman" w:hAnsi="Times New Roman"/>
          <w:b w:val="false"/>
          <w:i w:val="false"/>
          <w:color w:val="000000"/>
          <w:sz w:val="22"/>
        </w:rPr>
        <w:t xml:space="preserve">. Documents that the filer asserts contain confidential information will not be electronically served by EFS, as provided in </w:t>
      </w:r>
      <w:hyperlink r:id="rId10">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199—14.12</w:t>
      </w:r>
      <w:r>
        <w:rPr>
          <w:rFonts w:ascii="Times New Roman" w:hAnsi="Times New Roman"/>
          <w:b/>
          <w:i w:val="false"/>
          <w:color w:val="000000"/>
          <w:sz w:val="22"/>
        </w:rPr>
        <w:t xml:space="preserve">(17A,476) </w:t>
      </w:r>
      <w:r>
        <w:rPr>
          <w:rFonts w:ascii="Times New Roman" w:hAnsi="Times New Roman"/>
          <w:b/>
          <w:i w:val="false"/>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color w:val="000000"/>
          <w:sz w:val="22"/>
        </w:rPr>
        <w:t xml:space="preserve">Filings by registered users. </w:t>
      </w:r>
      <w:r>
        <w:rPr>
          <w:rFonts w:ascii="Times New Roman" w:hAnsi="Times New Roman"/>
          <w:b w:val="false"/>
          <w:i w:val="false"/>
          <w:color w:val="000000"/>
          <w:sz w:val="22"/>
        </w:rPr>
        <w:t xml:space="preserve">The use of a user ID and password in accordance with the registration procedures specified in rule </w:t>
      </w:r>
      <w:hyperlink r:id="rId11">
        <w:r>
          <w:rPr>
            <w:rStyle w:val="Hyperlink"/>
            <w:rFonts w:ascii="Times New Roman" w:hAnsi="Times New Roman"/>
            <w:b w:val="false"/>
            <w:i w:val="false"/>
            <w:color w:val="000000"/>
            <w:sz w:val="22"/>
          </w:rPr>
          <w:t>199—14.6</w:t>
        </w:r>
      </w:hyperlink>
      <w:r>
        <w:rPr>
          <w:rFonts w:ascii="Times New Roman" w:hAnsi="Times New Roman"/>
          <w:b w:val="false"/>
          <w:i w:val="false"/>
          <w:color w:val="000000"/>
          <w:sz w:val="22"/>
        </w:rPr>
        <w:t xml:space="preserve">(17A,476) constitutes the filer’s signature. Filers should use “/s/” followed by the signer’s name to indicate a signature where applicable. All pleadings shall include a signature block containing the signer’s name, title, address, email address, and telephone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color w:val="000000"/>
          <w:sz w:val="22"/>
        </w:rPr>
        <w:t xml:space="preserve">Filings by guest users. </w:t>
      </w:r>
      <w:r>
        <w:rPr>
          <w:rFonts w:ascii="Times New Roman" w:hAnsi="Times New Roman"/>
          <w:b w:val="false"/>
          <w:i w:val="false"/>
          <w:color w:val="000000"/>
          <w:sz w:val="22"/>
        </w:rPr>
        <w:t>The personal information provided to submit a filing as a guest user constitutes the filer’s signature. Filers should use “/s/” followed by the signer’s name to indicate a signature where applicable. All pleadings should also include a signature block containing the signer’s name, title, address, email address, and telephone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199—14.13</w:t>
      </w:r>
      <w:r>
        <w:rPr>
          <w:rFonts w:ascii="Times New Roman" w:hAnsi="Times New Roman"/>
          <w:b/>
          <w:i w:val="false"/>
          <w:color w:val="000000"/>
          <w:sz w:val="22"/>
        </w:rPr>
        <w:t xml:space="preserve">(17A,476) </w:t>
      </w:r>
      <w:r>
        <w:rPr>
          <w:rFonts w:ascii="Times New Roman" w:hAnsi="Times New Roman"/>
          <w:b/>
          <w:i w:val="false"/>
          <w:color w:val="000000"/>
          <w:sz w:val="22"/>
        </w:rPr>
        <w:t xml:space="preserve">Original documents. </w:t>
      </w:r>
      <w:r>
        <w:rPr>
          <w:rFonts w:ascii="Times New Roman" w:hAnsi="Times New Roman"/>
          <w:b w:val="false"/>
          <w:i w:val="false"/>
          <w:color w:val="000000"/>
          <w:sz w:val="22"/>
        </w:rPr>
        <w:t xml:space="preserve">When a commission rule directs the filing of an original document not prepared by the filer or the party on whose behalf the document is filed, such as an invoice or other document, the filer should scan the original document and file the scanned document in EFS or request advance commission approval of other arrangements. The filer must retain the original document for a period of two years or until the conclusion of the proceeding or the conclusion of an appeal, whichever is greater.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199—14.14</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Service on parties able to receive electronic service. </w:t>
      </w:r>
      <w:r>
        <w:rPr>
          <w:rFonts w:ascii="Times New Roman" w:hAnsi="Times New Roman"/>
          <w:b w:val="false"/>
          <w:i w:val="false"/>
          <w:color w:val="000000"/>
          <w:sz w:val="22"/>
        </w:rPr>
        <w:t>Unless otherwise provided by commission rule or order, whenever a document is filed electronically, a Notice of Electronic Filing will be generated and sent to the filer and to representatives of the other parties who are able to receive electronic service and who are on the service list. This notice will constitute valid service of electronically filed documents and commission orders on parties accepting electronic service. The notice will include a service list providing names, addresses, and email addresses of the persons who were sent the notice. No additional proof or certificate of service is necessary in matters in which all parties are able to receive electronic service. It is the responsibility of the filer to review the notice to ensure that all parties have been provided notice. All parties are responsible for ensuring that their email accounts are monitored regularly and that email notices sent to the account are opened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Service on parties for whom electronic service is not available. </w:t>
      </w:r>
      <w:r>
        <w:rPr>
          <w:rFonts w:ascii="Times New Roman" w:hAnsi="Times New Roman"/>
          <w:b w:val="false"/>
          <w:i w:val="false"/>
          <w:color w:val="000000"/>
          <w:sz w:val="22"/>
        </w:rPr>
        <w:t xml:space="preserve">The service list in each proceeding will be available in EFS. The list will identify the representatives for each party and will also indicate the parties for whom electronic service is not available. A filer is to serve a paper copy of any electronically filed document on parties entitled to paper service under the “general information” rule in </w:t>
      </w:r>
      <w:hyperlink r:id="rId12">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unless the parties agree to other arrangements. The date of service is the day when the document served is deposited in the United States mail or overnight delivery, is delivered in person, or otherwise as the parties may agree. A party serving a paper copy of any electronically filed document on a person for whom electronic service is not available is to file a certificate of service stating the manner in which service on such person was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color w:val="000000"/>
          <w:sz w:val="22"/>
        </w:rPr>
        <w:t xml:space="preserve">Service of commission-generated documents. </w:t>
      </w:r>
      <w:r>
        <w:rPr>
          <w:rFonts w:ascii="Times New Roman" w:hAnsi="Times New Roman"/>
          <w:b w:val="false"/>
          <w:i w:val="false"/>
          <w:color w:val="000000"/>
          <w:sz w:val="22"/>
        </w:rPr>
        <w:t>Orders issued by the commission will be electronically filed. EFS will electronically transmit notice of posting of orders to all parties on the service list that are able to receive electronic service. This notice will constitute valid service of the order. The commission’s customer service bureau will mail paper copies of orders to parties who are not able to receive electronic service and to others as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14.14(4)</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Electronic service through EFS to parties other than the consumer advocate division of the department of justice is not to be used to serve a document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filer asserts contains confidential material,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Initiates a proceeding, such as a complaint or application, except for orders opening inquiries, investigations, or rulemaking proceedings, or other similar proceedings where the commission has an electronic service list on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14.14(5)</w:t>
      </w:r>
      <w:r>
        <w:rPr>
          <w:rFonts w:ascii="Times New Roman" w:hAnsi="Times New Roman"/>
          <w:b w:val="false"/>
          <w:i w:val="false"/>
          <w:color w:val="000000"/>
          <w:sz w:val="22"/>
        </w:rPr>
        <w:t> </w:t>
      </w:r>
      <w:r>
        <w:rPr>
          <w:rFonts w:ascii="Times New Roman" w:hAnsi="Times New Roman"/>
          <w:b w:val="false"/>
          <w:i/>
          <w:color w:val="000000"/>
          <w:sz w:val="22"/>
        </w:rPr>
        <w:t xml:space="preserve">Changes to service list. </w:t>
      </w:r>
      <w:r>
        <w:rPr>
          <w:rFonts w:ascii="Times New Roman" w:hAnsi="Times New Roman"/>
          <w:b w:val="false"/>
          <w:i w:val="false"/>
          <w:color w:val="000000"/>
          <w:sz w:val="22"/>
        </w:rPr>
        <w:t>Filers wishing to change information on the service list may contact the commission’s customer service bureau. Other changes to the service list, such as a withdrawal of appearance or substitution of counsel, may be requested by means of an appropriate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8256C</w:t>
      </w:r>
      <w:r>
        <w:rPr>
          <w:rFonts w:ascii="Times New Roman" w:hAnsi="Times New Roman"/>
          <w:b w:val="false"/>
          <w:i w:val="false"/>
          <w:color w:val="000000"/>
          <w:sz w:val="21"/>
        </w:rPr>
        <w:t xml:space="preserve"> (Notice ARC 8106C, IAB 7/10/24)</w:t>
      </w:r>
      <w:r>
        <w:rPr>
          <w:rFonts w:ascii="Times New Roman" w:hAnsi="Times New Roman"/>
          <w:b w:val="false"/>
          <w:i w:val="false"/>
          <w:color w:val="000000"/>
          <w:sz w:val="21"/>
        </w:rPr>
        <w:t>, IAB 10/16/24, effective 11/20/24]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iuc.iowa.gov" Type="http://schemas.openxmlformats.org/officeDocument/2006/relationships/hyperlink" Id="rId4"/>
    <Relationship TargetMode="External" Target="https://www.legis.iowa.gov/docs/iac/rule/199.14.6.pdf" Type="http://schemas.openxmlformats.org/officeDocument/2006/relationships/hyperlink" Id="rId5"/>
    <Relationship TargetMode="External" Target="https://www.legis.iowa.gov/docs/iac/rule/199.14.6.pdf" Type="http://schemas.openxmlformats.org/officeDocument/2006/relationships/hyperlink" Id="rId6"/>
    <Relationship TargetMode="External" Target="https://www.legis.iowa.gov/docs/iac/chapter/199.7.pdf" Type="http://schemas.openxmlformats.org/officeDocument/2006/relationships/hyperlink" Id="rId7"/>
    <Relationship TargetMode="External" Target="https://www.legis.iowa.gov/docs/iac/chapter/199.26.pdf" Type="http://schemas.openxmlformats.org/officeDocument/2006/relationships/hyperlink" Id="rId8"/>
    <Relationship TargetMode="External" Target="https://www.legis.iowa.gov/docs/iac/chapter/199.1.pdf" Type="http://schemas.openxmlformats.org/officeDocument/2006/relationships/hyperlink" Id="rId9"/>
    <Relationship TargetMode="External" Target="https://www.legis.iowa.gov/docs/iac/chapter/199.14.pdf" Type="http://schemas.openxmlformats.org/officeDocument/2006/relationships/hyperlink" Id="rId10"/>
    <Relationship TargetMode="External" Target="https://www.legis.iowa.gov/docs/iac/rule/199.14.6.pdf" Type="http://schemas.openxmlformats.org/officeDocument/2006/relationships/hyperlink" Id="rId11"/>
    <Relationship TargetMode="External" Target="https://www.legis.iowa.gov/docs/iac/chapter/199.7.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47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