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REGULATIONS APPLICABLE TO CARRIERS</w:t>
      </w:r>
    </w:p>
    <w:p>
      <w:pPr>
        <w:spacing w:before="0" w:after="0"/>
        <w:ind w:left="120"/>
        <w:jc w:val="center"/>
      </w:pPr>
      <w:r>
        <w:rPr>
          <w:rFonts w:ascii="Times New Roman" w:hAnsi="Times New Roman"/>
          <w:b w:val="false"/>
          <w:i w:val="false"/>
          <w:color w:val="000000"/>
          <w:sz w:val="14"/>
        </w:rPr>
        <w:t>[Prior to 6/3/87, Transportation Department[820]—(07,F) Ch 8]</w:t>
      </w:r>
    </w:p>
    <w:p>
      <w:pPr>
        <w:spacing w:before="0" w:after="0"/>
        <w:ind w:left="120"/>
        <w:jc w:val="center"/>
      </w:pPr>
      <w:r>
        <w:rPr>
          <w:rFonts w:ascii="Times New Roman" w:hAnsi="Times New Roman"/>
          <w:b w:val="false"/>
          <w:i w:val="false"/>
          <w:color w:val="000000"/>
          <w:sz w:val="14"/>
        </w:rPr>
        <w:t>[Prior to 7/26/23, see Transportation Department[761] Ch 520]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661—22.1</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and hazardous materials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carrier safety regulations. </w:t>
      </w:r>
      <w:r>
        <w:rPr>
          <w:rFonts w:ascii="Times New Roman" w:hAnsi="Times New Roman"/>
          <w:b w:val="false"/>
          <w:i w:val="false"/>
          <w:color w:val="000000"/>
          <w:sz w:val="22"/>
        </w:rPr>
        <w:t>The department of public safety adopts the Federal Motor Carrier Safety Regulations, 49 CFR Parts 385, 386 and 390-399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regulations. </w:t>
      </w:r>
      <w:r>
        <w:rPr>
          <w:rFonts w:ascii="Times New Roman" w:hAnsi="Times New Roman"/>
          <w:b w:val="false"/>
          <w:i w:val="false"/>
          <w:color w:val="000000"/>
          <w:sz w:val="22"/>
        </w:rPr>
        <w:t>The department of public safety adopts the Federal Hazardous Materials Regulations, 49 CFR Parts 107, 171-173, 177, 178, and 180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Carriers subject to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commercial vehicles, as defined in Iowa Code section </w:t>
      </w:r>
      <w:hyperlink r:id="rId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subject to the Federal Motor Carrier Safety Regulations adopted in this rule unless exempted under Iowa Code section </w:t>
      </w:r>
      <w:hyperlink r:id="rId7">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vehicles transporting hazardous materials in commerce are subject to the Federal Hazardous Materials Regulations adopted in this rule unless exempted under Iowa Code section </w:t>
      </w:r>
      <w:hyperlink r:id="rId8">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Operators of vehicles for hire, designed to transport 7 or more persons but fewer than 16, including the driver, must comply with 49 CFR Part 395 of the Federal Motor Carrier Safety Regulations. In addition, operators of vehicles for hire, designed to transport 7 or more persons but fewer than 16, including the driver, are not exempt from logbook requirements afforded the 150-air-mile radius driver under 49 CFR 395.1(e). However, the provisions of 49 CFR Part 395 shall not apply to vehicles offered to the public for hire that are used principally in intracity operation and are regulated by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knowledge of regulations. </w:t>
      </w:r>
      <w:r>
        <w:rPr>
          <w:rFonts w:ascii="Times New Roman" w:hAnsi="Times New Roman"/>
          <w:b w:val="false"/>
          <w:i w:val="false"/>
          <w:color w:val="000000"/>
          <w:sz w:val="22"/>
        </w:rPr>
        <w:t>Operators of commercial vehicles who are subject to the regulations adopted in this rule shall at the time of application for authority to operate in Iowa or upon receipt of their Iowa registration declare knowledge of the Federal Motor Carrier Safety Regulations and Federal Hazardous Materials Regulations adopted in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the regulations adopted in rule </w:t>
      </w:r>
      <w:hyperlink r:id="rId12">
        <w:r>
          <w:rPr>
            <w:rStyle w:val="Hyperlink"/>
            <w:rFonts w:ascii="Times New Roman" w:hAnsi="Times New Roman"/>
            <w:b w:val="false"/>
            <w:i w:val="false"/>
            <w:color w:val="000000"/>
            <w:sz w:val="22"/>
          </w:rPr>
          <w:t>661—22.1(321)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requirements which impose any restrictions upon a person” </w:t>
      </w:r>
      <w:r>
        <w:rPr>
          <w:rFonts w:ascii="Times New Roman" w:hAnsi="Times New Roman"/>
          <w:b w:val="false"/>
          <w:i w:val="false"/>
          <w:color w:val="000000"/>
          <w:sz w:val="22"/>
        </w:rPr>
        <w:t xml:space="preserve">as used in Iowa Code section </w:t>
      </w:r>
      <w:hyperlink r:id="rId13">
        <w:r>
          <w:rPr>
            <w:rStyle w:val="Hyperlink"/>
            <w:rFonts w:ascii="Times New Roman" w:hAnsi="Times New Roman"/>
            <w:b w:val="false"/>
            <w:i w:val="false"/>
            <w:color w:val="000000"/>
            <w:sz w:val="22"/>
          </w:rPr>
          <w:t>321.449(6)</w:t>
        </w:r>
      </w:hyperlink>
      <w:r>
        <w:rPr>
          <w:rFonts w:ascii="Times New Roman" w:hAnsi="Times New Roman"/>
          <w:b w:val="false"/>
          <w:i w:val="false"/>
          <w:color w:val="000000"/>
          <w:sz w:val="22"/>
        </w:rPr>
        <w:t xml:space="preserve"> means the requirements in 49 CFR Parts 391 and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 age qualifications” </w:t>
      </w:r>
      <w:r>
        <w:rPr>
          <w:rFonts w:ascii="Times New Roman" w:hAnsi="Times New Roman"/>
          <w:b w:val="false"/>
          <w:i w:val="false"/>
          <w:color w:val="000000"/>
          <w:sz w:val="22"/>
        </w:rPr>
        <w:t xml:space="preserve">as used in Iowa Code section </w:t>
      </w:r>
      <w:hyperlink r:id="rId14">
        <w:r>
          <w:rPr>
            <w:rStyle w:val="Hyperlink"/>
            <w:rFonts w:ascii="Times New Roman" w:hAnsi="Times New Roman"/>
            <w:b w:val="false"/>
            <w:i w:val="false"/>
            <w:color w:val="000000"/>
            <w:sz w:val="22"/>
          </w:rPr>
          <w:t>321.449(3)</w:t>
        </w:r>
      </w:hyperlink>
      <w:r>
        <w:rPr>
          <w:rFonts w:ascii="Times New Roman" w:hAnsi="Times New Roman"/>
          <w:b w:val="false"/>
          <w:i w:val="false"/>
          <w:color w:val="000000"/>
          <w:sz w:val="22"/>
        </w:rPr>
        <w:t xml:space="preserve"> means the age qualifications in 49 CFR 391.11(b)(1).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 qualifications” </w:t>
      </w:r>
      <w:r>
        <w:rPr>
          <w:rFonts w:ascii="Times New Roman" w:hAnsi="Times New Roman"/>
          <w:b w:val="false"/>
          <w:i w:val="false"/>
          <w:color w:val="000000"/>
          <w:sz w:val="22"/>
        </w:rPr>
        <w:t xml:space="preserve">as used in Iowa Code section </w:t>
      </w:r>
      <w:hyperlink r:id="rId15">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driver qualifications in 49 CFR Part 391.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customer” </w:t>
      </w:r>
      <w:r>
        <w:rPr>
          <w:rFonts w:ascii="Times New Roman" w:hAnsi="Times New Roman"/>
          <w:b w:val="false"/>
          <w:i w:val="false"/>
          <w:color w:val="000000"/>
          <w:sz w:val="22"/>
        </w:rPr>
        <w:t xml:space="preserve">as used in Iowa Code section </w:t>
      </w:r>
      <w:hyperlink r:id="rId16">
        <w:r>
          <w:rPr>
            <w:rStyle w:val="Hyperlink"/>
            <w:rFonts w:ascii="Times New Roman" w:hAnsi="Times New Roman"/>
            <w:b w:val="false"/>
            <w:i w:val="false"/>
            <w:color w:val="000000"/>
            <w:sz w:val="22"/>
          </w:rPr>
          <w:t>321.450(3)</w:t>
        </w:r>
      </w:hyperlink>
      <w:r>
        <w:rPr>
          <w:rFonts w:ascii="Times New Roman" w:hAnsi="Times New Roman"/>
          <w:b w:val="false"/>
          <w:i w:val="false"/>
          <w:color w:val="000000"/>
          <w:sz w:val="22"/>
        </w:rPr>
        <w:t xml:space="preserve"> means a retail consumer residing on a farm or in a rural area or city with a population of 3,000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“Hours of service” </w:t>
      </w:r>
      <w:r>
        <w:rPr>
          <w:rFonts w:ascii="Times New Roman" w:hAnsi="Times New Roman"/>
          <w:b w:val="false"/>
          <w:i w:val="false"/>
          <w:color w:val="000000"/>
          <w:sz w:val="22"/>
        </w:rPr>
        <w:t xml:space="preserve">as used in Iowa Code section </w:t>
      </w:r>
      <w:hyperlink r:id="rId17">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hours of service requirements in 49 CFR Part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recordkeeping requirements in 49 CFR Part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adopted under this section concerning physical and medical qualifications” </w:t>
      </w:r>
      <w:r>
        <w:rPr>
          <w:rFonts w:ascii="Times New Roman" w:hAnsi="Times New Roman"/>
          <w:b w:val="false"/>
          <w:i w:val="false"/>
          <w:color w:val="000000"/>
          <w:sz w:val="22"/>
        </w:rPr>
        <w:t xml:space="preserve">as used in Iowa Code sections </w:t>
      </w:r>
      <w:hyperlink r:id="rId19">
        <w:r>
          <w:rPr>
            <w:rStyle w:val="Hyperlink"/>
            <w:rFonts w:ascii="Times New Roman" w:hAnsi="Times New Roman"/>
            <w:b w:val="false"/>
            <w:i w:val="false"/>
            <w:color w:val="000000"/>
            <w:sz w:val="22"/>
          </w:rPr>
          <w:t>321.449(5)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321.450(2)</w:t>
        </w:r>
      </w:hyperlink>
      <w:r>
        <w:rPr>
          <w:rFonts w:ascii="Times New Roman" w:hAnsi="Times New Roman"/>
          <w:b w:val="false"/>
          <w:i w:val="false"/>
          <w:color w:val="000000"/>
          <w:sz w:val="22"/>
        </w:rPr>
        <w:t xml:space="preserve"> means the regulations in 49 CFR 391.11(b)(4) and 49 CFR Part 391, Subpart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adopted under this section for a driver of a commercial vehicle” </w:t>
      </w:r>
      <w:r>
        <w:rPr>
          <w:rFonts w:ascii="Times New Roman" w:hAnsi="Times New Roman"/>
          <w:b w:val="false"/>
          <w:i w:val="false"/>
          <w:color w:val="000000"/>
          <w:sz w:val="22"/>
        </w:rPr>
        <w:t xml:space="preserve">as used in Iowa Code section </w:t>
      </w:r>
      <w:hyperlink r:id="rId21">
        <w:r>
          <w:rPr>
            <w:rStyle w:val="Hyperlink"/>
            <w:rFonts w:ascii="Times New Roman" w:hAnsi="Times New Roman"/>
            <w:b w:val="false"/>
            <w:i w:val="false"/>
            <w:color w:val="000000"/>
            <w:sz w:val="22"/>
          </w:rPr>
          <w:t>321.449(4)</w:t>
        </w:r>
      </w:hyperlink>
      <w:r>
        <w:rPr>
          <w:rFonts w:ascii="Times New Roman" w:hAnsi="Times New Roman"/>
          <w:b w:val="false"/>
          <w:i w:val="false"/>
          <w:color w:val="000000"/>
          <w:sz w:val="22"/>
        </w:rPr>
        <w:t xml:space="preserve"> means the regulations in 49 CFR Parts 391 and 395.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661—22.3</w:t>
      </w:r>
      <w:r>
        <w:rPr>
          <w:rFonts w:ascii="Times New Roman" w:hAnsi="Times New Roman"/>
          <w:b/>
          <w:i w:val="false"/>
          <w:color w:val="000000"/>
          <w:sz w:val="22"/>
        </w:rPr>
        <w:t xml:space="preserve">(321) </w:t>
      </w:r>
      <w:r>
        <w:rPr>
          <w:rFonts w:ascii="Times New Roman" w:hAnsi="Times New Roman"/>
          <w:b/>
          <w:i w:val="false"/>
          <w:color w:val="000000"/>
          <w:sz w:val="22"/>
        </w:rPr>
        <w:t xml:space="preserve">Motor carrier safety regulations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intrastate vehicle operations are exempt from the motor carrier safety regulations concerning inspection in 49 CFR 396.17 as adopted in rule </w:t>
      </w:r>
      <w:hyperlink r:id="rId24">
        <w:r>
          <w:rPr>
            <w:rStyle w:val="Hyperlink"/>
            <w:rFonts w:ascii="Times New Roman" w:hAnsi="Times New Roman"/>
            <w:b w:val="false"/>
            <w:i w:val="false"/>
            <w:color w:val="000000"/>
            <w:sz w:val="22"/>
          </w:rPr>
          <w:t>661—22.1(321)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Implements of husbandry including nurse tanks as defined in Iowa Code section </w:t>
      </w:r>
      <w:hyperlink r:id="rId2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mobile equipment (SME) as defined in Iowa Code section </w:t>
      </w:r>
      <w:hyperlink r:id="rId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Unregistered farm trailers as defined in rule </w:t>
      </w:r>
      <w:hyperlink r:id="rId27">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 xml:space="preserve">(321) pursuant to Iowa Code section </w:t>
      </w:r>
      <w:hyperlink r:id="rId28">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 registered for a gross weight of five tons or less when used by retail dealers or their employees to deliver hazardous materials, fertilizers, petroleum products and pesticides to farm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w:t>
      </w:r>
      <w:r>
        <w:rPr>
          <w:rFonts w:ascii="Times New Roman" w:hAnsi="Times New Roman"/>
          <w:b/>
          <w:i w:val="false"/>
          <w:color w:val="000000"/>
          <w:sz w:val="22"/>
        </w:rPr>
        <w:t xml:space="preserve">(321) </w:t>
      </w:r>
      <w:r>
        <w:rPr>
          <w:rFonts w:ascii="Times New Roman" w:hAnsi="Times New Roman"/>
          <w:b/>
          <w:i w:val="false"/>
          <w:color w:val="000000"/>
          <w:sz w:val="22"/>
        </w:rPr>
        <w:t xml:space="preserve">Hazardous materials exemptions. </w:t>
      </w:r>
      <w:r>
        <w:rPr>
          <w:rFonts w:ascii="Times New Roman" w:hAnsi="Times New Roman"/>
          <w:b w:val="false"/>
          <w:i w:val="false"/>
          <w:color w:val="000000"/>
          <w:sz w:val="22"/>
        </w:rPr>
        <w:t xml:space="preserve">These exemptions apply to the regulations adopted in rule </w:t>
      </w:r>
      <w:hyperlink r:id="rId33">
        <w:r>
          <w:rPr>
            <w:rStyle w:val="Hyperlink"/>
            <w:rFonts w:ascii="Times New Roman" w:hAnsi="Times New Roman"/>
            <w:b w:val="false"/>
            <w:i w:val="false"/>
            <w:color w:val="000000"/>
            <w:sz w:val="22"/>
          </w:rPr>
          <w:t>661—22.1(321)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321.450(3)</w:t>
        </w:r>
      </w:hyperlink>
      <w:r>
        <w:rPr>
          <w:rFonts w:ascii="Times New Roman" w:hAnsi="Times New Roman"/>
          <w:b w:val="false"/>
          <w:i w:val="false"/>
          <w:color w:val="000000"/>
          <w:sz w:val="22"/>
        </w:rPr>
        <w:t xml:space="preserve">, “retail dealers of fertilizers, petroleum products, and pesticides and their employees while delivering fertilizers, petroleum products, and pesticides to farm customers within a one-hundred-mile radius of their retail place of business” are exempt from 49 CFR 177.804; and, pursuant to Iowa Code section </w:t>
      </w:r>
      <w:hyperlink r:id="rId35">
        <w:r>
          <w:rPr>
            <w:rStyle w:val="Hyperlink"/>
            <w:rFonts w:ascii="Times New Roman" w:hAnsi="Times New Roman"/>
            <w:b w:val="false"/>
            <w:i w:val="false"/>
            <w:color w:val="000000"/>
            <w:sz w:val="22"/>
          </w:rPr>
          <w:t>321.449(4)</w:t>
        </w:r>
      </w:hyperlink>
      <w:r>
        <w:rPr>
          <w:rFonts w:ascii="Times New Roman" w:hAnsi="Times New Roman"/>
          <w:b w:val="false"/>
          <w:i w:val="false"/>
          <w:color w:val="000000"/>
          <w:sz w:val="22"/>
        </w:rPr>
        <w:t xml:space="preserve">, they are exempt from 49 CFR Parts 391 and 395. However, pursuant to Iowa Code section </w:t>
      </w:r>
      <w:hyperlink r:id="rId3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the retail dealers and their employees under the specified conditions are subject to the regulations in 49 CFR Parts 390, 392, 393, 396 and 397.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661—22.5</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fitness.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New motor carrier safety audits. </w:t>
      </w:r>
      <w:r>
        <w:rPr>
          <w:rFonts w:ascii="Times New Roman" w:hAnsi="Times New Roman"/>
          <w:b w:val="false"/>
          <w:i w:val="false"/>
          <w:color w:val="000000"/>
          <w:sz w:val="22"/>
        </w:rPr>
        <w:t>Peace officers in the commercial motor vehicle unit of the department of public safety will perform safety audits of new motor carriers and have the authority to enter a motor carrier’s place of business for the purpose of performing these audits. These audits are performed in compliance with 49 CFR Part 385 and  are completed within 18 months from the day the motor carrier commences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Motor carrier compliance reviews. </w:t>
      </w:r>
      <w:r>
        <w:rPr>
          <w:rFonts w:ascii="Times New Roman" w:hAnsi="Times New Roman"/>
          <w:b w:val="false"/>
          <w:i w:val="false"/>
          <w:color w:val="000000"/>
          <w:sz w:val="22"/>
        </w:rPr>
        <w:t>Peace officers in the commercial motor vehicle unit of the department of public safety will perform compliance reviews of motor carriers and shall have the authority to enter a motor carrier’s place of business for the purpose of performing these compliance reviews. These compliance reviews are performed in compliance with 49 CFR Part 385.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w:t>
      </w:r>
      <w:r>
        <w:rPr>
          <w:rFonts w:ascii="Times New Roman" w:hAnsi="Times New Roman"/>
          <w:b/>
          <w:i w:val="false"/>
          <w:color w:val="000000"/>
          <w:sz w:val="22"/>
        </w:rPr>
        <w:t xml:space="preserve">(321) </w:t>
      </w:r>
      <w:r>
        <w:rPr>
          <w:rFonts w:ascii="Times New Roman" w:hAnsi="Times New Roman"/>
          <w:b/>
          <w:i w:val="false"/>
          <w:color w:val="000000"/>
          <w:sz w:val="22"/>
        </w:rPr>
        <w:t xml:space="preserve">Out-of-service order. </w:t>
      </w:r>
      <w:r>
        <w:rPr>
          <w:rFonts w:ascii="Times New Roman" w:hAnsi="Times New Roman"/>
          <w:b w:val="false"/>
          <w:i w:val="false"/>
          <w:color w:val="000000"/>
          <w:sz w:val="22"/>
        </w:rPr>
        <w:t>A person will not operate a commercial vehicle or transport hazardous material in violation of an out-of-service order issued by an Iowa peace officer. An out-of-service order for noncompliance is issued when either the vehicle operator is not qualified to operate the vehicle or the vehicle is unsafe to be operated until required repairs are made. The out-of-service order is consistent with the North American Uniform Out-of-Service Criteria.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321.208A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661—22.7</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Driver’s statement. </w:t>
      </w:r>
      <w:r>
        <w:rPr>
          <w:rFonts w:ascii="Times New Roman" w:hAnsi="Times New Roman"/>
          <w:b w:val="false"/>
          <w:i w:val="false"/>
          <w:color w:val="000000"/>
          <w:sz w:val="22"/>
        </w:rPr>
        <w:t xml:space="preserve">A “driver” as used in Iowa Code sections </w:t>
      </w:r>
      <w:hyperlink r:id="rId44">
        <w:r>
          <w:rPr>
            <w:rStyle w:val="Hyperlink"/>
            <w:rFonts w:ascii="Times New Roman" w:hAnsi="Times New Roman"/>
            <w:b w:val="false"/>
            <w:i w:val="false"/>
            <w:color w:val="000000"/>
            <w:sz w:val="22"/>
          </w:rPr>
          <w:t>321.449(5)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321.450(2)</w:t>
        </w:r>
      </w:hyperlink>
      <w:r>
        <w:rPr>
          <w:rFonts w:ascii="Times New Roman" w:hAnsi="Times New Roman"/>
          <w:b w:val="false"/>
          <w:i w:val="false"/>
          <w:color w:val="000000"/>
          <w:sz w:val="22"/>
        </w:rPr>
        <w:t xml:space="preserve"> will carry at all times a notarized statement of employment. The statement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driver’s name, address and social security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and telephone number of the driver’s pre-July 29, 1996, employer;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signed by the pre-July 29, 1996, employer or the employer’s authorized representative, that the driver was employed to operate a commercial vehicle only in Iowa;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showing the driver’s physical or medical condition existed prior to July 29, 1996.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661—22.8</w:t>
      </w:r>
      <w:r>
        <w:rPr>
          <w:rFonts w:ascii="Times New Roman" w:hAnsi="Times New Roman"/>
          <w:b/>
          <w:i w:val="false"/>
          <w:color w:val="000000"/>
          <w:sz w:val="22"/>
        </w:rPr>
        <w:t xml:space="preserve">(321) </w:t>
      </w:r>
      <w:r>
        <w:rPr>
          <w:rFonts w:ascii="Times New Roman" w:hAnsi="Times New Roman"/>
          <w:b/>
          <w:i w:val="false"/>
          <w:color w:val="000000"/>
          <w:sz w:val="22"/>
        </w:rPr>
        <w:t xml:space="preserve">Planting and harvesting period. </w:t>
      </w:r>
      <w:r>
        <w:rPr>
          <w:rFonts w:ascii="Times New Roman" w:hAnsi="Times New Roman"/>
          <w:b w:val="false"/>
          <w:i w:val="false"/>
          <w:color w:val="000000"/>
          <w:sz w:val="22"/>
        </w:rPr>
        <w:t>In accordance with the provisions of 49 CFR 395.1(k), the planting and harvesting period pertaining to agricultural operations is January 1 through December 31.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661—22.9</w:t>
      </w:r>
      <w:r>
        <w:rPr>
          <w:rFonts w:ascii="Times New Roman" w:hAnsi="Times New Roman"/>
          <w:b/>
          <w:i w:val="false"/>
          <w:color w:val="000000"/>
          <w:sz w:val="22"/>
        </w:rPr>
        <w:t xml:space="preserve">(325A) </w:t>
      </w:r>
      <w:r>
        <w:rPr>
          <w:rFonts w:ascii="Times New Roman" w:hAnsi="Times New Roman"/>
          <w:b/>
          <w:i w:val="false"/>
          <w:color w:val="000000"/>
          <w:sz w:val="22"/>
        </w:rPr>
        <w:t xml:space="preserve">Marking of motor vehicles. </w:t>
      </w:r>
      <w:r>
        <w:rPr>
          <w:rFonts w:ascii="Times New Roman" w:hAnsi="Times New Roman"/>
          <w:b w:val="false"/>
          <w:i w:val="false"/>
          <w:color w:val="000000"/>
          <w:sz w:val="22"/>
        </w:rPr>
        <w:t xml:space="preserve">“Motor vehicle” is defined in Iowa Code chapter </w:t>
      </w:r>
      <w:hyperlink r:id="rId50">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Before any motor vehicle is placed in service, the motor vehicle will be clearly marked with letters and figures large enough to be easily read at a distance of 50 feet and in a color in contrast to the background. These markings will be painted on each side of the motor vehicle or may consist of a removable device that meets identification and legibility requirements and is securely placed on each side of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Motor carriers operating intrastate only will display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motor carrier under whose authority the motor vehicle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DOT number followed by the letters “IA” if the motor carrier has been issued a number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Motor carriers operating both interstate and intrastate will display markings in accordance with 49 CFR 390.21.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325A.8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661—22.10</w:t>
      </w:r>
      <w:r>
        <w:rPr>
          <w:rFonts w:ascii="Times New Roman" w:hAnsi="Times New Roman"/>
          <w:b/>
          <w:i w:val="false"/>
          <w:color w:val="000000"/>
          <w:sz w:val="22"/>
        </w:rPr>
        <w:t xml:space="preserve">(325A) </w:t>
      </w:r>
      <w:r>
        <w:rPr>
          <w:rFonts w:ascii="Times New Roman" w:hAnsi="Times New Roman"/>
          <w:b/>
          <w:i w:val="false"/>
          <w:color w:val="000000"/>
          <w:sz w:val="22"/>
        </w:rPr>
        <w:t xml:space="preserve">Bills of lading or freight receipts.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Every motor carrier operating under a motor carrier permit, except for those motor carriers transporting unprocessed agricultural and horticultural products and livestock, will issue a bill of lading or receipt on the date freight is received for shipment. The bill of lading or receipt shows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motor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and place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of consignor.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consignee.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motor carrier or agent issuing the bill of lading or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Freight described in apparent good order unless an exception is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There will be one copy of the bill of lading or receipt for the consignor, one for the consignee and one to be kept by the motor carrier. The copy may be either paper or electronic except that a bill of lading or receipt of freight consisting of hazardous materials must be a paper copy as required in accordance with 49 CFR Part 172. The motor carrier will carry a copy of the bill of lading or receipt with the cargo and shall show the total of all charges made for the movement of freight. The motor carrier will keep the bill of lading or receipt for a period of not less than one year. At any reasonable time, the bill of lading or receipt is subject to inspection by the department’s representatives and any peace officer.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325A.10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emergency 11/20/86—published 12/17/86, effective 11/21/86]</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5/29/87—published 6/17/87, effective 6/1/87]</w:t>
      </w:r>
    </w:p>
    <w:p>
      <w:pPr>
        <w:spacing w:before="0" w:after="0"/>
        <w:ind w:left="120"/>
        <w:jc w:val="center"/>
      </w:pPr>
      <w:r>
        <w:rPr>
          <w:rFonts w:ascii="Times New Roman" w:hAnsi="Times New Roman"/>
          <w:b w:val="false"/>
          <w:i w:val="false"/>
          <w:color w:val="000000"/>
          <w:sz w:val="21"/>
        </w:rPr>
        <w:t>[Filed emergency 7/22/87—published 8/12/87, effective 7/22/87]</w:t>
      </w:r>
    </w:p>
    <w:p>
      <w:pPr>
        <w:spacing w:before="0" w:after="0"/>
        <w:ind w:left="120"/>
        <w:jc w:val="center"/>
      </w:pPr>
      <w:r>
        <w:rPr>
          <w:rFonts w:ascii="Times New Roman" w:hAnsi="Times New Roman"/>
          <w:b w:val="false"/>
          <w:i w:val="false"/>
          <w:color w:val="000000"/>
          <w:sz w:val="21"/>
        </w:rPr>
        <w:t>[Filed 10/23/87, Notices 6/17/87, 8/12/87—published 11/18/87, effective 1/1/88]</w:t>
      </w:r>
    </w:p>
    <w:p>
      <w:pPr>
        <w:spacing w:before="0" w:after="0"/>
        <w:ind w:left="120"/>
        <w:jc w:val="center"/>
      </w:pPr>
      <w:r>
        <w:rPr>
          <w:rFonts w:ascii="Times New Roman" w:hAnsi="Times New Roman"/>
          <w:b w:val="false"/>
          <w:i w:val="false"/>
          <w:color w:val="000000"/>
          <w:sz w:val="21"/>
        </w:rPr>
        <w:t>[Filed emergency 3/30/88—published 4/20/88, effective 4/1/88]</w:t>
      </w:r>
    </w:p>
    <w:p>
      <w:pPr>
        <w:spacing w:before="0" w:after="0"/>
        <w:ind w:left="120"/>
        <w:jc w:val="center"/>
      </w:pPr>
      <w:r>
        <w:rPr>
          <w:rFonts w:ascii="Times New Roman" w:hAnsi="Times New Roman"/>
          <w:b w:val="false"/>
          <w:i w:val="false"/>
          <w:color w:val="000000"/>
          <w:sz w:val="21"/>
        </w:rPr>
        <w:t>[Filed 6/22/88, Notice 4/20/88—published 7/13/88, effective 8/17/88]</w:t>
      </w:r>
    </w:p>
    <w:p>
      <w:pPr>
        <w:spacing w:before="0" w:after="0"/>
        <w:ind w:left="120"/>
        <w:jc w:val="center"/>
      </w:pPr>
      <w:r>
        <w:rPr>
          <w:rFonts w:ascii="Times New Roman" w:hAnsi="Times New Roman"/>
          <w:b w:val="false"/>
          <w:i w:val="false"/>
          <w:color w:val="000000"/>
          <w:sz w:val="21"/>
        </w:rPr>
        <w:t>[Filed emergency 9/21/89—published 10/18/89, effective 9/21/89]</w:t>
      </w:r>
    </w:p>
    <w:p>
      <w:pPr>
        <w:spacing w:before="0" w:after="0"/>
        <w:ind w:left="120"/>
        <w:jc w:val="center"/>
      </w:pPr>
      <w:r>
        <w:rPr>
          <w:rFonts w:ascii="Times New Roman" w:hAnsi="Times New Roman"/>
          <w:b w:val="false"/>
          <w:i w:val="false"/>
          <w:color w:val="000000"/>
          <w:sz w:val="21"/>
        </w:rPr>
        <w:t>[Filed 11/30/89, Notice 10/18/89—published 12/27/89, effective 1/31/90]</w:t>
      </w:r>
    </w:p>
    <w:p>
      <w:pPr>
        <w:spacing w:before="0" w:after="0"/>
        <w:ind w:left="120"/>
        <w:jc w:val="center"/>
      </w:pPr>
      <w:r>
        <w:rPr>
          <w:rFonts w:ascii="Times New Roman" w:hAnsi="Times New Roman"/>
          <w:b w:val="false"/>
          <w:i w:val="false"/>
          <w:color w:val="000000"/>
          <w:sz w:val="21"/>
        </w:rPr>
        <w:t>[Filed 6/7/90, Notice 3/21/90—published 6/27/90, effective 8/1/90]</w:t>
      </w:r>
    </w:p>
    <w:p>
      <w:pPr>
        <w:spacing w:before="0" w:after="0"/>
        <w:ind w:left="120"/>
        <w:jc w:val="center"/>
      </w:pPr>
      <w:r>
        <w:rPr>
          <w:rFonts w:ascii="Times New Roman" w:hAnsi="Times New Roman"/>
          <w:b w:val="false"/>
          <w:i w:val="false"/>
          <w:color w:val="000000"/>
          <w:sz w:val="21"/>
        </w:rPr>
        <w:t>[Filed emergency 8/8/90—published 9/5/90, effective 8/10/90]</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11/7/90, Notice 9/5/90—published 11/28/90, effective 1/2/91]</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7/3/91, Notice 5/15/91—published 7/24/91, effective 8/28/91]</w:t>
      </w:r>
    </w:p>
    <w:p>
      <w:pPr>
        <w:spacing w:before="0" w:after="0"/>
        <w:ind w:left="120"/>
        <w:jc w:val="center"/>
      </w:pPr>
      <w:r>
        <w:rPr>
          <w:rFonts w:ascii="Times New Roman" w:hAnsi="Times New Roman"/>
          <w:b w:val="false"/>
          <w:i w:val="false"/>
          <w:color w:val="000000"/>
          <w:sz w:val="21"/>
        </w:rPr>
        <w:t>[Filed 8/26/92, Notice 7/22/92—published 9/16/92, effective 10/21/92]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6/2/93, Notice 4/28/93—published 6/23/93, effective 7/28/93]</w:t>
      </w:r>
    </w:p>
    <w:p>
      <w:pPr>
        <w:spacing w:before="0" w:after="0"/>
        <w:ind w:left="120"/>
        <w:jc w:val="center"/>
      </w:pPr>
      <w:r>
        <w:rPr>
          <w:rFonts w:ascii="Times New Roman" w:hAnsi="Times New Roman"/>
          <w:b w:val="false"/>
          <w:i w:val="false"/>
          <w:color w:val="000000"/>
          <w:sz w:val="21"/>
        </w:rPr>
        <w:t>[Filed emergency 7/13/93—published 8/4/93, effective 7/13/93]</w:t>
      </w:r>
    </w:p>
    <w:p>
      <w:pPr>
        <w:spacing w:before="0" w:after="0"/>
        <w:ind w:left="120"/>
        <w:jc w:val="center"/>
      </w:pPr>
      <w:r>
        <w:rPr>
          <w:rFonts w:ascii="Times New Roman" w:hAnsi="Times New Roman"/>
          <w:b w:val="false"/>
          <w:i w:val="false"/>
          <w:color w:val="000000"/>
          <w:sz w:val="21"/>
        </w:rPr>
        <w:t>[Filed 9/8/94, Notice 8/3/94—published 9/28/94, effective 11/2/94]</w:t>
      </w:r>
    </w:p>
    <w:p>
      <w:pPr>
        <w:spacing w:before="0" w:after="0"/>
        <w:ind w:left="120"/>
        <w:jc w:val="center"/>
      </w:pPr>
      <w:r>
        <w:rPr>
          <w:rFonts w:ascii="Times New Roman" w:hAnsi="Times New Roman"/>
          <w:b w:val="false"/>
          <w:i w:val="false"/>
          <w:color w:val="000000"/>
          <w:sz w:val="21"/>
        </w:rPr>
        <w:t>[Filed 8/17/95, Notice 7/5/95—published 9/13/95, effective 10/18/95]</w:t>
      </w:r>
    </w:p>
    <w:p>
      <w:pPr>
        <w:spacing w:before="0" w:after="0"/>
        <w:ind w:left="120"/>
        <w:jc w:val="center"/>
      </w:pPr>
      <w:r>
        <w:rPr>
          <w:rFonts w:ascii="Times New Roman" w:hAnsi="Times New Roman"/>
          <w:b w:val="false"/>
          <w:i w:val="false"/>
          <w:color w:val="000000"/>
          <w:sz w:val="21"/>
        </w:rPr>
        <w:t>[Filed 5/1/96, Notice 3/27/96—published 5/22/96, effective 6/26/96]</w:t>
      </w:r>
    </w:p>
    <w:p>
      <w:pPr>
        <w:spacing w:before="0" w:after="0"/>
        <w:ind w:left="120"/>
        <w:jc w:val="center"/>
      </w:pPr>
      <w:r>
        <w:rPr>
          <w:rFonts w:ascii="Times New Roman" w:hAnsi="Times New Roman"/>
          <w:b w:val="false"/>
          <w:i w:val="false"/>
          <w:color w:val="000000"/>
          <w:sz w:val="21"/>
        </w:rPr>
        <w:t>[Filed 1/16/97, Notice 12/4/96—published 2/12/97, effective 3/19/97]</w:t>
      </w:r>
    </w:p>
    <w:p>
      <w:pPr>
        <w:spacing w:before="0" w:after="0"/>
        <w:ind w:left="120"/>
        <w:jc w:val="center"/>
      </w:pPr>
      <w:r>
        <w:rPr>
          <w:rFonts w:ascii="Times New Roman" w:hAnsi="Times New Roman"/>
          <w:b w:val="false"/>
          <w:i w:val="false"/>
          <w:color w:val="000000"/>
          <w:sz w:val="21"/>
        </w:rPr>
        <w:t>[Filed 5/22/97, Notice 4/9/97—published 6/18/97, effective 7/23/97]</w:t>
      </w:r>
    </w:p>
    <w:p>
      <w:pPr>
        <w:spacing w:before="0" w:after="0"/>
        <w:ind w:left="120"/>
        <w:jc w:val="center"/>
      </w:pPr>
      <w:r>
        <w:rPr>
          <w:rFonts w:ascii="Times New Roman" w:hAnsi="Times New Roman"/>
          <w:b w:val="false"/>
          <w:i w:val="false"/>
          <w:color w:val="000000"/>
          <w:sz w:val="21"/>
        </w:rPr>
        <w:t>[Filed 4/9/98, Notice 2/25/98—published 5/6/98, effective 6/10/98]</w:t>
      </w:r>
    </w:p>
    <w:p>
      <w:pPr>
        <w:spacing w:before="0" w:after="0"/>
        <w:ind w:left="120"/>
        <w:jc w:val="center"/>
      </w:pPr>
      <w:r>
        <w:rPr>
          <w:rFonts w:ascii="Times New Roman" w:hAnsi="Times New Roman"/>
          <w:b w:val="false"/>
          <w:i w:val="false"/>
          <w:color w:val="000000"/>
          <w:sz w:val="21"/>
        </w:rPr>
        <w:t>[Filed 2/10/99, Notice 12/30/98—published 3/10/99, effective 4/14/99]</w:t>
      </w:r>
    </w:p>
    <w:p>
      <w:pPr>
        <w:spacing w:before="0" w:after="0"/>
        <w:ind w:left="120"/>
        <w:jc w:val="center"/>
      </w:pPr>
      <w:r>
        <w:rPr>
          <w:rFonts w:ascii="Times New Roman" w:hAnsi="Times New Roman"/>
          <w:b w:val="false"/>
          <w:i w:val="false"/>
          <w:color w:val="000000"/>
          <w:sz w:val="21"/>
        </w:rPr>
        <w:t>[Filed 6/16/00, Notice 4/19/00—published 7/12/00, effective 8/16/00]</w:t>
      </w:r>
    </w:p>
    <w:p>
      <w:pPr>
        <w:spacing w:before="0" w:after="0"/>
        <w:ind w:left="120"/>
        <w:jc w:val="center"/>
      </w:pPr>
      <w:r>
        <w:rPr>
          <w:rFonts w:ascii="Times New Roman" w:hAnsi="Times New Roman"/>
          <w:b w:val="false"/>
          <w:i w:val="false"/>
          <w:color w:val="000000"/>
          <w:sz w:val="21"/>
        </w:rPr>
        <w:t>[Filed 4/11/01, Notice 3/7/01—published 5/2/01, effective 6/6/01]</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3/26/03, Notice 2/5/03—published 4/16/03, effective 5/21/03]</w:t>
      </w:r>
    </w:p>
    <w:p>
      <w:pPr>
        <w:spacing w:before="0" w:after="0"/>
        <w:ind w:left="120"/>
        <w:jc w:val="center"/>
      </w:pPr>
      <w:r>
        <w:rPr>
          <w:rFonts w:ascii="Times New Roman" w:hAnsi="Times New Roman"/>
          <w:b w:val="false"/>
          <w:i w:val="false"/>
          <w:color w:val="000000"/>
          <w:sz w:val="21"/>
        </w:rPr>
        <w:t>[Filed 9/24/03, Notice 8/20/03—published 10/15/03, effective 11/19/03]</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3/9/05, Notice 2/2/05—published 3/30/05, effective 5/4/05]</w:t>
      </w:r>
    </w:p>
    <w:p>
      <w:pPr>
        <w:spacing w:before="0" w:after="0"/>
        <w:ind w:left="120"/>
        <w:jc w:val="center"/>
      </w:pPr>
      <w:r>
        <w:rPr>
          <w:rFonts w:ascii="Times New Roman" w:hAnsi="Times New Roman"/>
          <w:b w:val="false"/>
          <w:i w:val="false"/>
          <w:color w:val="000000"/>
          <w:sz w:val="21"/>
        </w:rPr>
        <w:t>[Filed 12/13/05, Notice 10/26/05—published 1/4/06, effective 2/8/06]</w:t>
      </w:r>
    </w:p>
    <w:p>
      <w:pPr>
        <w:spacing w:before="0" w:after="0"/>
        <w:ind w:left="120"/>
        <w:jc w:val="center"/>
      </w:pPr>
      <w:r>
        <w:rPr>
          <w:rFonts w:ascii="Times New Roman" w:hAnsi="Times New Roman"/>
          <w:b w:val="false"/>
          <w:i w:val="false"/>
          <w:color w:val="000000"/>
          <w:sz w:val="21"/>
        </w:rPr>
        <w:t>[Filed 2/21/07, Notice 1/17/07—published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7750B</w:t>
      </w:r>
      <w:r>
        <w:rPr>
          <w:rFonts w:ascii="Times New Roman" w:hAnsi="Times New Roman"/>
          <w:b w:val="false"/>
          <w:i w:val="false"/>
          <w:color w:val="000000"/>
          <w:sz w:val="21"/>
        </w:rPr>
        <w:t xml:space="preserve"> (Notice ARC 7601B,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8720B</w:t>
      </w:r>
      <w:r>
        <w:rPr>
          <w:rFonts w:ascii="Times New Roman" w:hAnsi="Times New Roman"/>
          <w:b w:val="false"/>
          <w:i w:val="false"/>
          <w:color w:val="000000"/>
          <w:sz w:val="21"/>
        </w:rPr>
        <w:t xml:space="preserve"> (Notice ARC 8555B,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9493B</w:t>
      </w:r>
      <w:r>
        <w:rPr>
          <w:rFonts w:ascii="Times New Roman" w:hAnsi="Times New Roman"/>
          <w:b w:val="false"/>
          <w:i w:val="false"/>
          <w:color w:val="000000"/>
          <w:sz w:val="21"/>
        </w:rPr>
        <w:t xml:space="preserve"> (Notice ARC 9417B, IAB 3/9/11)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0034C</w:t>
      </w:r>
      <w:r>
        <w:rPr>
          <w:rFonts w:ascii="Times New Roman" w:hAnsi="Times New Roman"/>
          <w:b w:val="false"/>
          <w:i w:val="false"/>
          <w:color w:val="000000"/>
          <w:sz w:val="21"/>
        </w:rPr>
        <w:t xml:space="preserve"> (Notice ARC 9973B,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0660C</w:t>
      </w:r>
      <w:r>
        <w:rPr>
          <w:rFonts w:ascii="Times New Roman" w:hAnsi="Times New Roman"/>
          <w:b w:val="false"/>
          <w:i w:val="false"/>
          <w:color w:val="000000"/>
          <w:sz w:val="21"/>
        </w:rPr>
        <w:t xml:space="preserve"> (Notice ARC 0591C,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2019C</w:t>
      </w:r>
      <w:r>
        <w:rPr>
          <w:rFonts w:ascii="Times New Roman" w:hAnsi="Times New Roman"/>
          <w:b w:val="false"/>
          <w:i w:val="false"/>
          <w:color w:val="000000"/>
          <w:sz w:val="21"/>
        </w:rPr>
        <w:t xml:space="preserve"> (Notice ARC 1922C,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2525C</w:t>
      </w:r>
      <w:r>
        <w:rPr>
          <w:rFonts w:ascii="Times New Roman" w:hAnsi="Times New Roman"/>
          <w:b w:val="false"/>
          <w:i w:val="false"/>
          <w:color w:val="000000"/>
          <w:sz w:val="21"/>
        </w:rPr>
        <w:t xml:space="preserve"> (Notice ARC 2401C,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Emergency ARC 3483C, IAB 12/6/17, effective 12/18/17]</w:t>
      </w:r>
    </w:p>
    <w:p>
      <w:pPr>
        <w:spacing w:before="0" w:after="0"/>
        <w:ind w:left="120"/>
        <w:jc w:val="center"/>
      </w:pPr>
      <w:r>
        <w:rPr>
          <w:rFonts w:ascii="Times New Roman" w:hAnsi="Times New Roman"/>
          <w:b w:val="false"/>
          <w:i w:val="false"/>
          <w:color w:val="000000"/>
          <w:sz w:val="21"/>
        </w:rPr>
        <w:t>[Filed ARC 3609C</w:t>
      </w:r>
      <w:r>
        <w:rPr>
          <w:rFonts w:ascii="Times New Roman" w:hAnsi="Times New Roman"/>
          <w:b w:val="false"/>
          <w:i w:val="false"/>
          <w:color w:val="000000"/>
          <w:sz w:val="21"/>
        </w:rPr>
        <w:t xml:space="preserve"> (Notice ARC 3482C, IAB 12/6/17)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[Filed ARC 8008C</w:t>
      </w:r>
      <w:r>
        <w:rPr>
          <w:rFonts w:ascii="Times New Roman" w:hAnsi="Times New Roman"/>
          <w:b w:val="false"/>
          <w:i w:val="false"/>
          <w:color w:val="000000"/>
          <w:sz w:val="21"/>
        </w:rPr>
        <w:t xml:space="preserve"> (Notice ARC 7723C, IAB 3/20/24)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[Filed ARC 9571C</w:t>
      </w:r>
      <w:r>
        <w:rPr>
          <w:rFonts w:ascii="Times New Roman" w:hAnsi="Times New Roman"/>
          <w:b w:val="false"/>
          <w:i w:val="false"/>
          <w:color w:val="000000"/>
          <w:sz w:val="21"/>
        </w:rPr>
        <w:t xml:space="preserve"> (Notice ARC 9386C, IAB 7/9/25)</w:t>
      </w:r>
      <w:r>
        <w:rPr>
          <w:rFonts w:ascii="Times New Roman" w:hAnsi="Times New Roman"/>
          <w:b w:val="false"/>
          <w:i w:val="false"/>
          <w:color w:val="000000"/>
          <w:sz w:val="21"/>
        </w:rPr>
        <w:t>, IAB 9/17/25, effective 10/22/25]</w:t>
      </w:r>
    </w:p>
    <w:p>
      <w:pPr>
        <w:pBdr>
          <w:bottom w:space="2"/>
        </w:pBdr>
        <w:spacing w:before="0" w:after="0"/>
        <w:ind w:left="120"/>
        <w:jc w:val="both"/>
      </w:pPr>
      <w:r>
        <w:rPr>
          <w:rFonts w:ascii="Times New Roman" w:hAnsi="Times New Roman"/>
          <w:b w:val="false"/>
          <w:i w:val="false"/>
          <w:color w:val="000000"/>
          <w:sz w:val="22"/>
        </w:rPr>
        <w:t>Effective date of 520.1(1)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rescission of 520.1(2)</w:t>
      </w:r>
      <w:r>
        <w:rPr>
          <w:rFonts w:ascii="Times New Roman" w:hAnsi="Times New Roman"/>
          <w:b w:val="false"/>
          <w:i/>
          <w:color w:val="000000"/>
          <w:sz w:val="22"/>
        </w:rPr>
        <w:t>“b”;</w:t>
      </w:r>
      <w:r>
        <w:rPr>
          <w:rFonts w:ascii="Times New Roman" w:hAnsi="Times New Roman"/>
          <w:b w:val="false"/>
          <w:i w:val="false"/>
          <w:color w:val="000000"/>
          <w:sz w:val="22"/>
        </w:rPr>
        <w:t xml:space="preserve"> and 520.3 delayed until adjournment of the 1993 Regular Session of the General Assembly by the Administrative Rules Review Committee at its meeting held October 14, 1992; delay lifted by the Committee November 10, 1992.</w:t>
      </w:r>
    </w:p>
    <w:sectPr>
      <w:footerReference r:id="rId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fmcsa.dot.gov"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449.pdf" Type="http://schemas.openxmlformats.org/officeDocument/2006/relationships/hyperlink" Id="rId7"/>
    <Relationship TargetMode="External" Target="https://www.legis.iowa.gov/docs/ico/chapter/321.450.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449.pdf" Type="http://schemas.openxmlformats.org/officeDocument/2006/relationships/hyperlink" Id="rId10"/>
    <Relationship TargetMode="External" Target="https://www.legis.iowa.gov/docs/ico/chapter/321.450.pdf" Type="http://schemas.openxmlformats.org/officeDocument/2006/relationships/hyperlink" Id="rId11"/>
    <Relationship TargetMode="External" Target="https://www.legis.iowa.gov/docs/iac/rule/661.22.1.pdf" Type="http://schemas.openxmlformats.org/officeDocument/2006/relationships/hyperlink" Id="rId12"/>
    <Relationship TargetMode="External" Target="https://www.legis.iowa.gov/docs/ico/chapter/321.449.pdf" Type="http://schemas.openxmlformats.org/officeDocument/2006/relationships/hyperlink" Id="rId13"/>
    <Relationship TargetMode="External" Target="https://www.legis.iowa.gov/docs/ico/chapter/321.449.pdf" Type="http://schemas.openxmlformats.org/officeDocument/2006/relationships/hyperlink" Id="rId14"/>
    <Relationship TargetMode="External" Target="https://www.legis.iowa.gov/docs/ico/chapter/321.449.pdf" Type="http://schemas.openxmlformats.org/officeDocument/2006/relationships/hyperlink" Id="rId15"/>
    <Relationship TargetMode="External" Target="https://www.legis.iowa.gov/docs/ico/chapter/321.450.pdf" Type="http://schemas.openxmlformats.org/officeDocument/2006/relationships/hyperlink" Id="rId16"/>
    <Relationship TargetMode="External" Target="https://www.legis.iowa.gov/docs/ico/chapter/321.449.pdf" Type="http://schemas.openxmlformats.org/officeDocument/2006/relationships/hyperlink" Id="rId17"/>
    <Relationship TargetMode="External" Target="https://www.legis.iowa.gov/docs/ico/chapter/321.449.pdf" Type="http://schemas.openxmlformats.org/officeDocument/2006/relationships/hyperlink" Id="rId18"/>
    <Relationship TargetMode="External" Target="https://www.legis.iowa.gov/docs/ico/chapter/321.449.pdf" Type="http://schemas.openxmlformats.org/officeDocument/2006/relationships/hyperlink" Id="rId19"/>
    <Relationship TargetMode="External" Target="https://www.legis.iowa.gov/docs/ico/chapter/321.450.pdf" Type="http://schemas.openxmlformats.org/officeDocument/2006/relationships/hyperlink" Id="rId20"/>
    <Relationship TargetMode="External" Target="https://www.legis.iowa.gov/docs/ico/chapter/321.449.pdf" Type="http://schemas.openxmlformats.org/officeDocument/2006/relationships/hyperlink" Id="rId21"/>
    <Relationship TargetMode="External" Target="https://www.legis.iowa.gov/docs/ico/chapter/321.449.pdf" Type="http://schemas.openxmlformats.org/officeDocument/2006/relationships/hyperlink" Id="rId22"/>
    <Relationship TargetMode="External" Target="https://www.legis.iowa.gov/docs/ico/chapter/321.450.pdf" Type="http://schemas.openxmlformats.org/officeDocument/2006/relationships/hyperlink" Id="rId23"/>
    <Relationship TargetMode="External" Target="https://www.legis.iowa.gov/docs/iac/rule/661.22.1.pdf" Type="http://schemas.openxmlformats.org/officeDocument/2006/relationships/hyperlink" Id="rId24"/>
    <Relationship TargetMode="External" Target="https://www.legis.iowa.gov/docs/ico/chapter/321.1.pdf" Type="http://schemas.openxmlformats.org/officeDocument/2006/relationships/hyperlink" Id="rId25"/>
    <Relationship TargetMode="External" Target="https://www.legis.iowa.gov/docs/ico/chapter/321.1.pdf" Type="http://schemas.openxmlformats.org/officeDocument/2006/relationships/hyperlink" Id="rId26"/>
    <Relationship TargetMode="External" Target="https://www.legis.iowa.gov/docs/iac/rule/761.400.1.pdf" Type="http://schemas.openxmlformats.org/officeDocument/2006/relationships/hyperlink" Id="rId27"/>
    <Relationship TargetMode="External" Target="https://www.legis.iowa.gov/docs/ico/chapter/321.123.pdf" Type="http://schemas.openxmlformats.org/officeDocument/2006/relationships/hyperlink" Id="rId28"/>
    <Relationship TargetMode="External" Target="https://www.legis.iowa.gov/docs/ico/chapter/321.1.pdf" Type="http://schemas.openxmlformats.org/officeDocument/2006/relationships/hyperlink" Id="rId29"/>
    <Relationship TargetMode="External" Target="https://www.legis.iowa.gov/docs/ico/chapter/321.123.pdf" Type="http://schemas.openxmlformats.org/officeDocument/2006/relationships/hyperlink" Id="rId30"/>
    <Relationship TargetMode="External" Target="https://www.legis.iowa.gov/docs/ico/chapter/321.449.pdf" Type="http://schemas.openxmlformats.org/officeDocument/2006/relationships/hyperlink" Id="rId31"/>
    <Relationship TargetMode="External" Target="https://www.legis.iowa.gov/docs/ico/chapter/321.450.pdf" Type="http://schemas.openxmlformats.org/officeDocument/2006/relationships/hyperlink" Id="rId32"/>
    <Relationship TargetMode="External" Target="https://www.legis.iowa.gov/docs/iac/rule/661.22.1.pdf" Type="http://schemas.openxmlformats.org/officeDocument/2006/relationships/hyperlink" Id="rId33"/>
    <Relationship TargetMode="External" Target="https://www.legis.iowa.gov/docs/ico/chapter/321.450.pdf" Type="http://schemas.openxmlformats.org/officeDocument/2006/relationships/hyperlink" Id="rId34"/>
    <Relationship TargetMode="External" Target="https://www.legis.iowa.gov/docs/ico/chapter/321.449.pdf" Type="http://schemas.openxmlformats.org/officeDocument/2006/relationships/hyperlink" Id="rId35"/>
    <Relationship TargetMode="External" Target="https://www.legis.iowa.gov/docs/ico/chapter/321.449.pdf" Type="http://schemas.openxmlformats.org/officeDocument/2006/relationships/hyperlink" Id="rId36"/>
    <Relationship TargetMode="External" Target="https://www.legis.iowa.gov/docs/ico/chapter/321.450.pdf" Type="http://schemas.openxmlformats.org/officeDocument/2006/relationships/hyperlink" Id="rId37"/>
    <Relationship TargetMode="External" Target="https://www.legis.iowa.gov/docs/ico/chapter/321.449.pdf" Type="http://schemas.openxmlformats.org/officeDocument/2006/relationships/hyperlink" Id="rId38"/>
    <Relationship TargetMode="External" Target="https://www.legis.iowa.gov/docs/ico/chapter/321.450.pdf" Type="http://schemas.openxmlformats.org/officeDocument/2006/relationships/hyperlink" Id="rId39"/>
    <Relationship TargetMode="External" Target="https://www.legis.iowa.gov/docs/ico/chapter/321.3.pdf" Type="http://schemas.openxmlformats.org/officeDocument/2006/relationships/hyperlink" Id="rId40"/>
    <Relationship TargetMode="External" Target="https://www.legis.iowa.gov/docs/ico/chapter/321.208A.pdf" Type="http://schemas.openxmlformats.org/officeDocument/2006/relationships/hyperlink" Id="rId41"/>
    <Relationship TargetMode="External" Target="https://www.legis.iowa.gov/docs/ico/chapter/321.449.pdf" Type="http://schemas.openxmlformats.org/officeDocument/2006/relationships/hyperlink" Id="rId42"/>
    <Relationship TargetMode="External" Target="https://www.legis.iowa.gov/docs/ico/chapter/321.450.pdf" Type="http://schemas.openxmlformats.org/officeDocument/2006/relationships/hyperlink" Id="rId43"/>
    <Relationship TargetMode="External" Target="https://www.legis.iowa.gov/docs/ico/chapter/321.449.pdf" Type="http://schemas.openxmlformats.org/officeDocument/2006/relationships/hyperlink" Id="rId44"/>
    <Relationship TargetMode="External" Target="https://www.legis.iowa.gov/docs/ico/chapter/321.450.pdf" Type="http://schemas.openxmlformats.org/officeDocument/2006/relationships/hyperlink" Id="rId45"/>
    <Relationship TargetMode="External" Target="https://www.legis.iowa.gov/docs/ico/chapter/321.449.pdf" Type="http://schemas.openxmlformats.org/officeDocument/2006/relationships/hyperlink" Id="rId46"/>
    <Relationship TargetMode="External" Target="https://www.legis.iowa.gov/docs/ico/chapter/321.450.pdf" Type="http://schemas.openxmlformats.org/officeDocument/2006/relationships/hyperlink" Id="rId47"/>
    <Relationship TargetMode="External" Target="https://www.legis.iowa.gov/docs/ico/chapter/321.449.pdf" Type="http://schemas.openxmlformats.org/officeDocument/2006/relationships/hyperlink" Id="rId48"/>
    <Relationship TargetMode="External" Target="https://www.legis.iowa.gov/docs/ico/chapter/321.450.pdf" Type="http://schemas.openxmlformats.org/officeDocument/2006/relationships/hyperlink" Id="rId49"/>
    <Relationship TargetMode="External" Target="https://www.legis.iowa.gov/docs/ico/chapter/325A.pdf" Type="http://schemas.openxmlformats.org/officeDocument/2006/relationships/hyperlink" Id="rId50"/>
    <Relationship TargetMode="External" Target="https://www.legis.iowa.gov/docs/ico/chapter/325A.8.pdf" Type="http://schemas.openxmlformats.org/officeDocument/2006/relationships/hyperlink" Id="rId51"/>
    <Relationship TargetMode="External" Target="https://www.legis.iowa.gov/docs/ico/chapter/325A.10.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