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line="480"/>
        <w:ind w:left="120"/>
        <w:jc w:val="left"/>
      </w:pPr>
      <w:bookmarkStart w:name="firstARC" w:id="0"/>
      <w:bookmarkEnd w:id="0"/>
    </w:p>
    <w:bookmarkStart w:name="arc9866C" w:id="1"/>
    <w:p>
      <w:pPr>
        <w:spacing w:before="0" w:after="0" w:line="480"/>
        <w:ind w:left="120"/>
        <w:jc w:val="right"/>
      </w:pPr>
      <w:r>
        <w:rPr>
          <w:rFonts w:ascii="Times New Roman" w:hAnsi="Times New Roman"/>
          <w:b/>
          <w:i w:val="false"/>
          <w:color w:val="000000"/>
          <w:sz w:val="28"/>
        </w:rPr>
        <w:t>ARC 9866C</w:t>
      </w:r>
    </w:p>
    <w:bookmarkEnd w:id="1"/>
    <w:p>
      <w:pPr>
        <w:pBdr>
          <w:top w:space="5"/>
        </w:pBdr>
        <w:spacing w:before="0" w:after="0" w:line="480"/>
        <w:ind w:left="120"/>
        <w:jc w:val="center"/>
      </w:pPr>
      <w:r>
        <w:rPr>
          <w:rFonts w:ascii="Times New Roman" w:hAnsi="Times New Roman"/>
          <w:b/>
          <w:i w:val="false"/>
          <w:color w:val="000000"/>
          <w:sz w:val="28"/>
        </w:rPr>
        <w:t>HIGHER EDUCATION LOAN AUTHORITY[284]</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organization and operation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Higher Education Loan Authority hereby proposes to rescind Chapter 1, “Organization and Operation,” and to adopt a new Chapter 1 “Organization and Operations,”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261A.7.</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section 261A.7.</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Authority serves Iowa’s independent nonprofit colleges and universities by providing affordable financing of facilities and working capital through the issuance of tax-exempt debt on the colleges’ and universities’ behalf. This proposed rulemaking repromulgates Chapter 1, which contains rules related to organization and operations of the Authority.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October 29,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November 18, 2025</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Authority for a waiver of the discretionary provisions, if any.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Authority no later than 4:30 p.m. on January 13,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291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Maribeth Wright </w:t>
            </w:r>
            <w:r>
              <w:br/>
            </w:r>
            <w:r>
              <w:rPr>
                <w:rFonts w:ascii="Times New Roman" w:hAnsi="Times New Roman"/>
                <w:b w:val="false"/>
                <w:i w:val="false"/>
                <w:color w:val="000000"/>
                <w:sz w:val="18"/>
              </w:rPr>
              <w:t>Iowa Higher Education Loan Authority</w:t>
            </w:r>
            <w:r>
              <w:br/>
            </w:r>
            <w:r>
              <w:rPr>
                <w:rFonts w:ascii="Times New Roman" w:hAnsi="Times New Roman"/>
                <w:b w:val="false"/>
                <w:i w:val="false"/>
                <w:color w:val="000000"/>
                <w:sz w:val="18"/>
              </w:rPr>
              <w:t>1105 High Street</w:t>
            </w:r>
            <w:r>
              <w:br/>
            </w:r>
            <w:r>
              <w:rPr>
                <w:rFonts w:ascii="Times New Roman" w:hAnsi="Times New Roman"/>
                <w:b w:val="false"/>
                <w:i w:val="false"/>
                <w:color w:val="000000"/>
                <w:sz w:val="18"/>
              </w:rPr>
              <w:t>P.O. Box 214</w:t>
            </w:r>
            <w:r>
              <w:br/>
            </w:r>
            <w:r>
              <w:rPr>
                <w:rFonts w:ascii="Times New Roman" w:hAnsi="Times New Roman"/>
                <w:b w:val="false"/>
                <w:i w:val="false"/>
                <w:color w:val="000000"/>
                <w:sz w:val="18"/>
              </w:rPr>
              <w:t>Norwalk, Iowa 50211</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maribeth.wright@ihela.org</w:t>
              </w:r>
            </w:hyperlink>
            <w:r>
              <w:rPr>
                <w:rFonts w:ascii="Times New Roman" w:hAnsi="Times New Roman"/>
                <w:b w:val="false"/>
                <w:i w:val="false"/>
                <w:color w:val="000000"/>
                <w:sz w:val="18"/>
              </w:rPr>
              <w:t xml:space="preserve"> </w:t>
            </w:r>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2603"/>
        <w:gridCol w:w="8587"/>
      </w:tblGrid>
      <w:tr>
        <w:trPr>
          <w:trHeight w:val="2700" w:hRule="atLeast"/>
        </w:trPr>
        <w:tc>
          <w:tcPr>
            <w:tcW w:w="260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9 to 9:45 a.m. </w:t>
            </w:r>
          </w:p>
        </w:tc>
        <w:tc>
          <w:tcPr>
            <w:tcW w:w="858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Via Zoom </w:t>
            </w:r>
            <w:r>
              <w:br/>
            </w:r>
            <w:hyperlink r:id="rId5">
              <w:r>
                <w:rPr>
                  <w:rStyle w:val="Hyperlink"/>
                  <w:rFonts w:ascii="Times New Roman" w:hAnsi="Times New Roman"/>
                  <w:b w:val="false"/>
                  <w:i w:val="false"/>
                  <w:color w:val="0000ff"/>
                  <w:sz w:val="24"/>
                </w:rPr>
                <w:t>us06web.zoom.us/j/83021252579?pwd=</w:t>
              </w:r>
              <w:r>
                <w:br/>
              </w:r>
              <w:r>
                <w:rPr>
                  <w:rFonts w:ascii="Times New Roman" w:hAnsi="Times New Roman"/>
                  <w:b w:val="false"/>
                  <w:i w:val="false"/>
                  <w:color w:val="0000ff"/>
                  <w:sz w:val="24"/>
                </w:rPr>
                <w:t>DMtPYz6JI4CFGzzLDZjqffdVQMX8cW.1</w:t>
              </w:r>
            </w:hyperlink>
            <w:r>
              <w:br/>
            </w:r>
            <w:r>
              <w:rPr>
                <w:rFonts w:ascii="Times New Roman" w:hAnsi="Times New Roman"/>
                <w:b w:val="false"/>
                <w:i w:val="false"/>
                <w:color w:val="000000"/>
                <w:sz w:val="18"/>
              </w:rPr>
              <w:t>Meeting ID: 830 2125 2579</w:t>
            </w:r>
            <w:r>
              <w:br/>
            </w:r>
            <w:r>
              <w:rPr>
                <w:rFonts w:ascii="Times New Roman" w:hAnsi="Times New Roman"/>
                <w:b w:val="false"/>
                <w:i w:val="false"/>
                <w:color w:val="000000"/>
                <w:sz w:val="18"/>
              </w:rPr>
              <w:t>Passcode: 826840</w:t>
            </w:r>
            <w:r>
              <w:br/>
            </w:r>
          </w:p>
        </w:tc>
      </w:tr>
      <w:tr>
        <w:trPr>
          <w:trHeight w:val="2430" w:hRule="atLeast"/>
        </w:trPr>
        <w:tc>
          <w:tcPr>
            <w:tcW w:w="2603"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January 13, 2026</w:t>
            </w:r>
            <w:r>
              <w:br/>
            </w:r>
            <w:r>
              <w:rPr>
                <w:rFonts w:ascii="Times New Roman" w:hAnsi="Times New Roman"/>
                <w:b w:val="false"/>
                <w:i w:val="false"/>
                <w:color w:val="000000"/>
                <w:sz w:val="18"/>
              </w:rPr>
              <w:t xml:space="preserve">2:30 to 3:15 p.m. </w:t>
            </w:r>
          </w:p>
        </w:tc>
        <w:tc>
          <w:tcPr>
            <w:tcW w:w="8587"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Via Zoom </w:t>
            </w:r>
            <w:r>
              <w:br/>
            </w:r>
            <w:hyperlink r:id="rId6">
              <w:r>
                <w:rPr>
                  <w:rStyle w:val="Hyperlink"/>
                  <w:rFonts w:ascii="Times New Roman" w:hAnsi="Times New Roman"/>
                  <w:b w:val="false"/>
                  <w:i w:val="false"/>
                  <w:color w:val="0000ff"/>
                  <w:sz w:val="24"/>
                </w:rPr>
                <w:t>us06web.zoom.us/j/87133458123?pwd=</w:t>
              </w:r>
              <w:r>
                <w:br/>
              </w:r>
              <w:r>
                <w:rPr>
                  <w:rFonts w:ascii="Times New Roman" w:hAnsi="Times New Roman"/>
                  <w:b w:val="false"/>
                  <w:i w:val="false"/>
                  <w:color w:val="0000ff"/>
                  <w:sz w:val="24"/>
                </w:rPr>
                <w:t>y0LH6z71ov0s3YJ4Sd3KvzYsT7ctSz.1</w:t>
              </w:r>
            </w:hyperlink>
            <w:r>
              <w:br/>
            </w:r>
            <w:r>
              <w:rPr>
                <w:rFonts w:ascii="Times New Roman" w:hAnsi="Times New Roman"/>
                <w:b w:val="false"/>
                <w:i w:val="false"/>
                <w:color w:val="000000"/>
                <w:sz w:val="18"/>
              </w:rPr>
              <w:t>Meeting ID: 871 3345 8123</w:t>
            </w:r>
            <w:r>
              <w:br/>
            </w:r>
            <w:r>
              <w:rPr>
                <w:rFonts w:ascii="Times New Roman" w:hAnsi="Times New Roman"/>
                <w:b w:val="false"/>
                <w:i w:val="false"/>
                <w:color w:val="000000"/>
                <w:sz w:val="18"/>
              </w:rPr>
              <w:t>Passcode: 735526</w:t>
            </w:r>
            <w:r>
              <w:br/>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Authority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284—Chapter 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1</w:t>
      </w:r>
    </w:p>
    <w:p>
      <w:pPr>
        <w:spacing w:before="0" w:after="0" w:line="480"/>
        <w:ind w:left="120"/>
        <w:jc w:val="center"/>
      </w:pPr>
      <w:r>
        <w:rPr>
          <w:rFonts w:ascii="Times New Roman" w:hAnsi="Times New Roman"/>
          <w:b w:val="false"/>
          <w:i w:val="false"/>
          <w:color w:val="000000"/>
          <w:sz w:val="21"/>
        </w:rPr>
        <w:t>ORGANIZATION AND OPERATIONS</w:t>
      </w:r>
    </w:p>
    <w:p>
      <w:pPr>
        <w:spacing w:before="0" w:after="0" w:line="480"/>
        <w:ind w:left="120"/>
        <w:jc w:val="both"/>
      </w:pPr>
      <w:r>
        <w:rPr>
          <w:rFonts w:ascii="Times New Roman" w:hAnsi="Times New Roman"/>
          <w:b/>
          <w:i w:val="false"/>
          <w:color w:val="000000"/>
          <w:sz w:val="24"/>
        </w:rPr>
        <w:t>284—1.1</w:t>
      </w:r>
      <w:r>
        <w:rPr>
          <w:rFonts w:ascii="Times New Roman" w:hAnsi="Times New Roman"/>
          <w:b/>
          <w:i w:val="false"/>
          <w:color w:val="000000"/>
          <w:sz w:val="24"/>
        </w:rPr>
        <w:t xml:space="preserve">(261A) </w:t>
      </w:r>
      <w:r>
        <w:rPr>
          <w:rFonts w:ascii="Times New Roman" w:hAnsi="Times New Roman"/>
          <w:b/>
          <w:i w:val="false"/>
          <w:color w:val="000000"/>
          <w:sz w:val="24"/>
        </w:rPr>
        <w:t xml:space="preserve">Organization and operations.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1.1(1)</w:t>
      </w:r>
      <w:r>
        <w:rPr>
          <w:rFonts w:ascii="Times New Roman" w:hAnsi="Times New Roman"/>
          <w:b w:val="false"/>
          <w:i w:val="false"/>
          <w:color w:val="000000"/>
          <w:sz w:val="24"/>
        </w:rPr>
        <w:t> </w:t>
      </w:r>
      <w:r>
        <w:rPr>
          <w:rFonts w:ascii="Times New Roman" w:hAnsi="Times New Roman"/>
          <w:b w:val="false"/>
          <w:i/>
          <w:color w:val="000000"/>
          <w:sz w:val="24"/>
        </w:rPr>
        <w:t xml:space="preserve">Location. </w:t>
      </w:r>
      <w:r>
        <w:rPr>
          <w:rFonts w:ascii="Times New Roman" w:hAnsi="Times New Roman"/>
          <w:b w:val="false"/>
          <w:i w:val="false"/>
          <w:color w:val="000000"/>
          <w:sz w:val="24"/>
        </w:rPr>
        <w:t>The mailing address of the authority is located at 1105 High Road, Box 214, Norwalk, Iowa 50211.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1.1(2)</w:t>
      </w:r>
      <w:r>
        <w:rPr>
          <w:rFonts w:ascii="Times New Roman" w:hAnsi="Times New Roman"/>
          <w:b w:val="false"/>
          <w:i w:val="false"/>
          <w:color w:val="000000"/>
          <w:sz w:val="24"/>
        </w:rPr>
        <w:t> </w:t>
      </w:r>
      <w:r>
        <w:rPr>
          <w:rFonts w:ascii="Times New Roman" w:hAnsi="Times New Roman"/>
          <w:b w:val="false"/>
          <w:i/>
          <w:color w:val="000000"/>
          <w:sz w:val="24"/>
        </w:rPr>
        <w:t xml:space="preserve">The authority. </w:t>
      </w:r>
      <w:r>
        <w:rPr>
          <w:rFonts w:ascii="Times New Roman" w:hAnsi="Times New Roman"/>
          <w:b w:val="false"/>
          <w:i w:val="false"/>
          <w:color w:val="000000"/>
          <w:sz w:val="24"/>
        </w:rPr>
        <w:t xml:space="preserve">The powers of the authority are vested in and exercised by the members of the authority pursuant to Iowa Code chapter </w:t>
      </w:r>
      <w:hyperlink r:id="rId8">
        <w:r>
          <w:rPr>
            <w:rStyle w:val="Hyperlink"/>
            <w:rFonts w:ascii="Times New Roman" w:hAnsi="Times New Roman"/>
            <w:b w:val="false"/>
            <w:i w:val="false"/>
            <w:color w:val="000000"/>
            <w:sz w:val="24"/>
          </w:rPr>
          <w:t>261A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1.1(3)</w:t>
      </w:r>
      <w:r>
        <w:rPr>
          <w:rFonts w:ascii="Times New Roman" w:hAnsi="Times New Roman"/>
          <w:b w:val="false"/>
          <w:i w:val="false"/>
          <w:color w:val="000000"/>
          <w:sz w:val="24"/>
        </w:rPr>
        <w:t> </w:t>
      </w:r>
      <w:r>
        <w:rPr>
          <w:rFonts w:ascii="Times New Roman" w:hAnsi="Times New Roman"/>
          <w:b w:val="false"/>
          <w:i/>
          <w:color w:val="000000"/>
          <w:sz w:val="24"/>
        </w:rPr>
        <w:t xml:space="preserve">Meetings.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 The chairperson of the authority presides at each meeting. Members of the public may be recognized at the discretion of the chairperson. All meetings are open to the public in accordance with the open meetings law, Iowa Code chapter </w:t>
      </w:r>
      <w:hyperlink r:id="rId9">
        <w:r>
          <w:rPr>
            <w:rStyle w:val="Hyperlink"/>
            <w:rFonts w:ascii="Times New Roman" w:hAnsi="Times New Roman"/>
            <w:b w:val="false"/>
            <w:i w:val="false"/>
            <w:color w:val="000000"/>
            <w:sz w:val="24"/>
          </w:rPr>
          <w:t>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Public notice. The authority will give advance public notice of the specific date, time and place of each authority meeting.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1.1(4)</w:t>
      </w:r>
      <w:r>
        <w:rPr>
          <w:rFonts w:ascii="Times New Roman" w:hAnsi="Times New Roman"/>
          <w:b w:val="false"/>
          <w:i w:val="false"/>
          <w:color w:val="000000"/>
          <w:sz w:val="24"/>
        </w:rPr>
        <w:t> </w:t>
      </w:r>
      <w:r>
        <w:rPr>
          <w:rFonts w:ascii="Times New Roman" w:hAnsi="Times New Roman"/>
          <w:b w:val="false"/>
          <w:i/>
          <w:color w:val="000000"/>
          <w:sz w:val="24"/>
        </w:rPr>
        <w:t xml:space="preserve">Minutes. </w:t>
      </w:r>
      <w:r>
        <w:rPr>
          <w:rFonts w:ascii="Times New Roman" w:hAnsi="Times New Roman"/>
          <w:b w:val="false"/>
          <w:i w:val="false"/>
          <w:color w:val="000000"/>
          <w:sz w:val="24"/>
        </w:rPr>
        <w:t>The minutes of all authority meetings are recorded by the secretary and kept in the authority’s possession.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1.1(5)</w:t>
      </w:r>
      <w:r>
        <w:rPr>
          <w:rFonts w:ascii="Times New Roman" w:hAnsi="Times New Roman"/>
          <w:b w:val="false"/>
          <w:i w:val="false"/>
          <w:color w:val="000000"/>
          <w:sz w:val="24"/>
        </w:rPr>
        <w:t> </w:t>
      </w:r>
      <w:r>
        <w:rPr>
          <w:rFonts w:ascii="Times New Roman" w:hAnsi="Times New Roman"/>
          <w:b w:val="false"/>
          <w:i/>
          <w:color w:val="000000"/>
          <w:sz w:val="24"/>
        </w:rPr>
        <w:t xml:space="preserve">Submission and requests. </w:t>
      </w:r>
      <w:r>
        <w:rPr>
          <w:rFonts w:ascii="Times New Roman" w:hAnsi="Times New Roman"/>
          <w:b w:val="false"/>
          <w:i w:val="false"/>
          <w:color w:val="000000"/>
          <w:sz w:val="24"/>
        </w:rPr>
        <w:t xml:space="preserve">Inquiries, submissions, petitions, and other requests directed to the authority may be made in writing addressed to the authority’s mailing address listed in subrule </w:t>
      </w:r>
      <w:hyperlink r:id="rId10">
        <w:r>
          <w:rPr>
            <w:rStyle w:val="Hyperlink"/>
            <w:rFonts w:ascii="Times New Roman" w:hAnsi="Times New Roman"/>
            <w:b w:val="false"/>
            <w:i w:val="false"/>
            <w:color w:val="000000"/>
            <w:sz w:val="24"/>
          </w:rPr>
          <w:t>1.1(1)</w:t>
        </w:r>
      </w:hyperlink>
      <w:r>
        <w:rPr>
          <w:rFonts w:ascii="Times New Roman" w:hAnsi="Times New Roman"/>
          <w:b w:val="false"/>
          <w:i w:val="false"/>
          <w:color w:val="000000"/>
          <w:sz w:val="24"/>
        </w:rPr>
        <w:t>. Any person may petition for a written or oral hearing before the authority. All requests for a hearing are in writing and state the specific subject to be discussed and the reasons why a personal appearance is necessary if one is requested.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1.1(6)</w:t>
      </w:r>
      <w:r>
        <w:rPr>
          <w:rFonts w:ascii="Times New Roman" w:hAnsi="Times New Roman"/>
          <w:b w:val="false"/>
          <w:i w:val="false"/>
          <w:color w:val="000000"/>
          <w:sz w:val="24"/>
        </w:rPr>
        <w:t> </w:t>
      </w:r>
      <w:r>
        <w:rPr>
          <w:rFonts w:ascii="Times New Roman" w:hAnsi="Times New Roman"/>
          <w:b w:val="false"/>
          <w:i/>
          <w:color w:val="000000"/>
          <w:sz w:val="24"/>
        </w:rPr>
        <w:t xml:space="preserve">Administration of programs. </w:t>
      </w:r>
      <w:r>
        <w:rPr>
          <w:rFonts w:ascii="Times New Roman" w:hAnsi="Times New Roman"/>
          <w:b w:val="false"/>
          <w:i w:val="false"/>
          <w:color w:val="000000"/>
          <w:sz w:val="24"/>
        </w:rPr>
        <w:t xml:space="preserve">The authority may adopt manuals, instructions or other statements as necessary to assist its employees in administering its programs and to permit individuals and organizations to participate in programs administered by the authority. Copies of all manuals, instructions and other statements are kept in the authority’s possession and are available for public inspection, except for those portions that are excluded from the definition of “rule” by Iowa Code section </w:t>
      </w:r>
      <w:hyperlink r:id="rId11">
        <w:r>
          <w:rPr>
            <w:rStyle w:val="Hyperlink"/>
            <w:rFonts w:ascii="Times New Roman" w:hAnsi="Times New Roman"/>
            <w:b w:val="false"/>
            <w:i w:val="false"/>
            <w:color w:val="000000"/>
            <w:sz w:val="24"/>
          </w:rPr>
          <w:t>17A.2(11)</w:t>
        </w:r>
      </w:hyperlink>
      <w:r>
        <w:rPr>
          <w:rFonts w:ascii="Times New Roman" w:hAnsi="Times New Roman"/>
          <w:b w:val="false"/>
          <w:i/>
          <w:color w:val="000000"/>
          <w:sz w:val="24"/>
        </w:rPr>
        <w:t>“f”</w:t>
      </w:r>
      <w:r>
        <w:rPr>
          <w:rFonts w:ascii="Times New Roman" w:hAnsi="Times New Roman"/>
          <w:b w:val="false"/>
          <w:i w:val="false"/>
          <w:color w:val="000000"/>
          <w:sz w:val="24"/>
        </w:rPr>
        <w:t xml:space="preserve"> or that must be kept confidential under applicable statutes or these rules. Members of the public may inspect the materials adopted pursuant to this rule, subject to the exceptions set out above, during regular business hours and may obtain a reasonable number of copies of the materials upon payment of a fee not to exceed the cost of providing copies.</w:t>
      </w:r>
    </w:p>
    <w:p>
      <w:pPr>
        <w:spacing w:before="0" w:after="0" w:line="480"/>
        <w:ind w:left="120"/>
        <w:jc w:val="both"/>
      </w:pPr>
      <w:r>
        <w:rPr>
          <w:rFonts w:ascii="Times New Roman" w:hAnsi="Times New Roman"/>
          <w:b w:val="false"/>
          <w:i w:val="false"/>
          <w:color w:val="000000"/>
          <w:sz w:val="24"/>
        </w:rPr>
        <w:t xml:space="preserve">This rule is intended to implement Iowa Code chapter </w:t>
      </w:r>
      <w:hyperlink r:id="rId12">
        <w:r>
          <w:rPr>
            <w:rStyle w:val="Hyperlink"/>
            <w:rFonts w:ascii="Times New Roman" w:hAnsi="Times New Roman"/>
            <w:b w:val="false"/>
            <w:i w:val="false"/>
            <w:color w:val="000000"/>
            <w:sz w:val="24"/>
          </w:rPr>
          <w:t>261A</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maribeth.wright@ihela.org" Type="http://schemas.openxmlformats.org/officeDocument/2006/relationships/hyperlink" Id="rId4"/>
    <Relationship TargetMode="External" Target="http://us06web.zoom.us/j/83021252579?pwd=DMtPYz6JI4CFGzzLDZjqffdVQMX8cW.1" Type="http://schemas.openxmlformats.org/officeDocument/2006/relationships/hyperlink" Id="rId5"/>
    <Relationship TargetMode="External" Target="http://us06web.zoom.us/j/87133458123?pwd=y0LH6z71ov0s3YJ4Sd3KvzYsT7ctSz.1"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261A.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ac/rule/284.1.1.pdf" Type="http://schemas.openxmlformats.org/officeDocument/2006/relationships/hyperlink" Id="rId10"/>
    <Relationship TargetMode="External" Target="https://www.legis.iowa.gov/docs/ico/chapter/17A.2.pdf" Type="http://schemas.openxmlformats.org/officeDocument/2006/relationships/hyperlink" Id="rId11"/>
    <Relationship TargetMode="External" Target="https://www.legis.iowa.gov/docs/ico/chapter/261A.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