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line="480"/>
        <w:ind w:left="120"/>
        <w:jc w:val="left"/>
      </w:pPr>
      <w:bookmarkStart w:name="firstARC" w:id="0"/>
      <w:bookmarkEnd w:id="0"/>
    </w:p>
    <w:bookmarkStart w:name="arc9865C" w:id="1"/>
    <w:p>
      <w:pPr>
        <w:spacing w:before="0" w:after="0" w:line="480"/>
        <w:ind w:left="120"/>
        <w:jc w:val="right"/>
      </w:pPr>
      <w:r>
        <w:rPr>
          <w:rFonts w:ascii="Times New Roman" w:hAnsi="Times New Roman"/>
          <w:b/>
          <w:i w:val="false"/>
          <w:color w:val="000000"/>
          <w:sz w:val="28"/>
        </w:rPr>
        <w:t>ARC 9865C</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medical and remedial services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rescind Chapter 78, “Amount, Duration and Scope of Medical and Remedial Services,” Iowa Administrative Code, and to adopt a new Chapter 78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249A.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249A.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chapter outlines parameters for provision and payment for services under Iowa Medicaid. The proposed chapter provides guidance to participating providers and members about which services are covered, are not covered, and require prior authorization.</w:t>
      </w:r>
    </w:p>
    <w:p>
      <w:pPr>
        <w:spacing w:before="0" w:after="0" w:line="480"/>
        <w:ind w:left="120"/>
        <w:jc w:val="both"/>
      </w:pPr>
      <w:r>
        <w:rPr>
          <w:rFonts w:ascii="Times New Roman" w:hAnsi="Times New Roman"/>
          <w:b w:val="false"/>
          <w:i w:val="false"/>
          <w:color w:val="000000"/>
          <w:sz w:val="24"/>
        </w:rPr>
        <w:t xml:space="preserve">    This proposed rulemaking is being undertaken as a result of Executive Order 10. As a result of its review, the Department eliminated some restrictive and outdated terms, referred items back to the Iowa Code or to program manuals, made technical corrections, deleted references to programs that are sunsetting, and updated terminology. </w:t>
      </w:r>
    </w:p>
    <w:p>
      <w:pPr>
        <w:spacing w:before="0" w:after="0" w:line="480"/>
        <w:ind w:left="120"/>
        <w:jc w:val="both"/>
      </w:pPr>
      <w:r>
        <w:rPr>
          <w:rFonts w:ascii="Times New Roman" w:hAnsi="Times New Roman"/>
          <w:b w:val="false"/>
          <w:i w:val="false"/>
          <w:color w:val="000000"/>
          <w:sz w:val="24"/>
        </w:rPr>
        <w:t>    In addition, the Department updated the home-based habilitation benefit in certain Medicaid waivers to reflect changes made by 2025 Iowa Acts, Senate File 474, section 40, which lowers the age at which individuals may receive home-based habilitation services under those waivers from 17 years of age to 16 years of age.</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November 12,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December 2,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Iowa Medicaid is aligning reimbursement practices for rehabilitation and speech therapy services with federal law and Centers for Medicare and Medicaid Services (CMS) guidelines. This change ensures fair, consistent billing practices and protects Medicaid program integrity while maintaining access to high-quality therapy services for members. Initial estimates from one managed care organization (MCO) indicated that State savings would be $480,000. Based on reviewing State fiscal year 2025 data, the estimated annual savings would be $2.8 million for the State.</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The Department received feedback that these proposed changes could impact business, including jobs, due to the revisions in numbered paragraph 78.1(19)“a”(6)“3.”</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6.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January 13,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339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Victoria L. Daniels </w:t>
            </w:r>
            <w:r>
              <w:br/>
            </w:r>
            <w:r>
              <w:rPr>
                <w:rFonts w:ascii="Times New Roman" w:hAnsi="Times New Roman"/>
                <w:b w:val="false"/>
                <w:i w:val="false"/>
                <w:color w:val="000000"/>
                <w:sz w:val="18"/>
              </w:rPr>
              <w:t xml:space="preserve">Department of Health and Human Services </w:t>
            </w:r>
            <w:r>
              <w:br/>
            </w:r>
            <w:r>
              <w:rPr>
                <w:rFonts w:ascii="Times New Roman" w:hAnsi="Times New Roman"/>
                <w:b w:val="false"/>
                <w:i w:val="false"/>
                <w:color w:val="000000"/>
                <w:sz w:val="18"/>
              </w:rPr>
              <w:t>Lucas Building</w:t>
            </w:r>
            <w:r>
              <w:br/>
            </w:r>
            <w:r>
              <w:rPr>
                <w:rFonts w:ascii="Times New Roman" w:hAnsi="Times New Roman"/>
                <w:b w:val="false"/>
                <w:i w:val="false"/>
                <w:color w:val="000000"/>
                <w:sz w:val="18"/>
              </w:rPr>
              <w:t>321 East 12th Street</w:t>
            </w:r>
            <w:r>
              <w:br/>
            </w:r>
            <w:r>
              <w:rPr>
                <w:rFonts w:ascii="Times New Roman" w:hAnsi="Times New Roman"/>
                <w:b w:val="false"/>
                <w:i w:val="false"/>
                <w:color w:val="000000"/>
                <w:sz w:val="18"/>
              </w:rPr>
              <w:t xml:space="preserve">Des Moines, Iowa 50319 </w:t>
            </w:r>
            <w:r>
              <w:br/>
            </w:r>
            <w:r>
              <w:rPr>
                <w:rFonts w:ascii="Times New Roman" w:hAnsi="Times New Roman"/>
                <w:b w:val="false"/>
                <w:i w:val="false"/>
                <w:color w:val="000000"/>
                <w:sz w:val="18"/>
              </w:rPr>
              <w:t xml:space="preserve">Phone: 515.829.6021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3908"/>
        <w:gridCol w:w="7282"/>
      </w:tblGrid>
      <w:tr>
        <w:trPr>
          <w:trHeight w:val="1470" w:hRule="atLeast"/>
        </w:trPr>
        <w:tc>
          <w:tcPr>
            <w:tcW w:w="390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January 13, 2026</w:t>
            </w:r>
            <w:r>
              <w:br/>
            </w:r>
            <w:r>
              <w:rPr>
                <w:rFonts w:ascii="Times New Roman" w:hAnsi="Times New Roman"/>
                <w:b w:val="false"/>
                <w:i w:val="false"/>
                <w:color w:val="000000"/>
                <w:sz w:val="18"/>
              </w:rPr>
              <w:t xml:space="preserve"> 10 to 10:30 a.m. </w:t>
            </w:r>
          </w:p>
        </w:tc>
        <w:tc>
          <w:tcPr>
            <w:tcW w:w="72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Microsoft Teams</w:t>
            </w:r>
            <w:r>
              <w:br/>
            </w:r>
            <w:r>
              <w:rPr>
                <w:rFonts w:ascii="Times New Roman" w:hAnsi="Times New Roman"/>
                <w:b w:val="false"/>
                <w:i w:val="false"/>
                <w:color w:val="000000"/>
                <w:sz w:val="18"/>
              </w:rPr>
              <w:t xml:space="preserve"> Meeting ID: 215 699 055 154 00</w:t>
            </w:r>
            <w:r>
              <w:br/>
            </w:r>
            <w:r>
              <w:rPr>
                <w:rFonts w:ascii="Times New Roman" w:hAnsi="Times New Roman"/>
                <w:b w:val="false"/>
                <w:i w:val="false"/>
                <w:color w:val="000000"/>
                <w:sz w:val="18"/>
              </w:rPr>
              <w:t xml:space="preserve"> Passcode: m6GB6cj6 </w:t>
            </w:r>
          </w:p>
        </w:tc>
      </w:tr>
      <w:tr>
        <w:trPr>
          <w:trHeight w:val="1470" w:hRule="atLeast"/>
        </w:trPr>
        <w:tc>
          <w:tcPr>
            <w:tcW w:w="390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January 13, 2026</w:t>
            </w:r>
            <w:r>
              <w:br/>
            </w:r>
            <w:r>
              <w:rPr>
                <w:rFonts w:ascii="Times New Roman" w:hAnsi="Times New Roman"/>
                <w:b w:val="false"/>
                <w:i w:val="false"/>
                <w:color w:val="000000"/>
                <w:sz w:val="18"/>
              </w:rPr>
              <w:t xml:space="preserve"> 2 to 2:30 p.m. </w:t>
            </w:r>
          </w:p>
        </w:tc>
        <w:tc>
          <w:tcPr>
            <w:tcW w:w="72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Microsoft Teams</w:t>
            </w:r>
            <w:r>
              <w:br/>
            </w:r>
            <w:r>
              <w:rPr>
                <w:rFonts w:ascii="Times New Roman" w:hAnsi="Times New Roman"/>
                <w:b w:val="false"/>
                <w:i w:val="false"/>
                <w:color w:val="000000"/>
                <w:sz w:val="18"/>
              </w:rPr>
              <w:t xml:space="preserve"> Meeting ID: 247 965 039 141 20</w:t>
            </w:r>
            <w:r>
              <w:br/>
            </w:r>
            <w:r>
              <w:rPr>
                <w:rFonts w:ascii="Times New Roman" w:hAnsi="Times New Roman"/>
                <w:b w:val="false"/>
                <w:i w:val="false"/>
                <w:color w:val="000000"/>
                <w:sz w:val="18"/>
              </w:rPr>
              <w:t xml:space="preserve"> Passcode: KU3Uu7ct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78</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78</w:t>
      </w:r>
    </w:p>
    <w:p>
      <w:pPr>
        <w:spacing w:before="0" w:after="0" w:line="480"/>
        <w:ind w:left="120"/>
        <w:jc w:val="center"/>
      </w:pPr>
      <w:r>
        <w:rPr>
          <w:rFonts w:ascii="Times New Roman" w:hAnsi="Times New Roman"/>
          <w:b w:val="false"/>
          <w:i w:val="false"/>
          <w:color w:val="000000"/>
          <w:sz w:val="21"/>
        </w:rPr>
        <w:t>AMOUNT, DURATION AND SCOPE OF MEDICAL AND REMEDIAL SERVICES</w:t>
      </w:r>
    </w:p>
    <w:p>
      <w:pPr>
        <w:spacing w:before="0" w:after="0" w:line="480"/>
        <w:ind w:left="120"/>
        <w:jc w:val="both"/>
      </w:pPr>
      <w:r>
        <w:rPr>
          <w:rFonts w:ascii="Times New Roman" w:hAnsi="Times New Roman"/>
          <w:b/>
          <w:i w:val="false"/>
          <w:color w:val="000000"/>
          <w:sz w:val="24"/>
        </w:rPr>
        <w:t>441—78.1</w:t>
      </w:r>
      <w:r>
        <w:rPr>
          <w:rFonts w:ascii="Times New Roman" w:hAnsi="Times New Roman"/>
          <w:b/>
          <w:i w:val="false"/>
          <w:color w:val="000000"/>
          <w:sz w:val="24"/>
        </w:rPr>
        <w:t xml:space="preserve">(249A) </w:t>
      </w:r>
      <w:r>
        <w:rPr>
          <w:rFonts w:ascii="Times New Roman" w:hAnsi="Times New Roman"/>
          <w:b/>
          <w:i w:val="false"/>
          <w:color w:val="000000"/>
          <w:sz w:val="24"/>
        </w:rPr>
        <w:t xml:space="preserve">Physicians’ services. </w:t>
      </w:r>
      <w:r>
        <w:rPr>
          <w:rFonts w:ascii="Times New Roman" w:hAnsi="Times New Roman"/>
          <w:b w:val="false"/>
          <w:i w:val="false"/>
          <w:color w:val="000000"/>
          <w:sz w:val="24"/>
        </w:rPr>
        <w:t>Payment will be approved for all medically necessary services and supplies provided by the physician, including services rendered in the physician’s office or clinic, the home, in a hospital, nursing home or elsewhere.</w:t>
      </w:r>
    </w:p>
    <w:p>
      <w:pPr>
        <w:spacing w:before="0" w:after="0" w:line="480"/>
        <w:ind w:left="120"/>
        <w:jc w:val="both"/>
      </w:pPr>
      <w:r>
        <w:rPr>
          <w:rFonts w:ascii="Times New Roman" w:hAnsi="Times New Roman"/>
          <w:b w:val="false"/>
          <w:i w:val="false"/>
          <w:color w:val="000000"/>
          <w:sz w:val="24"/>
        </w:rPr>
        <w:t>Payment will be made for all services rendered by a doctor of medicine or osteopathy within the scope of this practice and the limitations of state law subject to the following limitations and exclusions: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78.1(1)</w:t>
      </w:r>
      <w:r>
        <w:rPr>
          <w:rFonts w:ascii="Times New Roman" w:hAnsi="Times New Roman"/>
          <w:b w:val="false"/>
          <w:i w:val="false"/>
          <w:color w:val="000000"/>
          <w:sz w:val="24"/>
        </w:rPr>
        <w:t> </w:t>
      </w:r>
      <w:r>
        <w:rPr>
          <w:rFonts w:ascii="Times New Roman" w:hAnsi="Times New Roman"/>
          <w:b w:val="false"/>
          <w:i w:val="false"/>
          <w:color w:val="000000"/>
          <w:sz w:val="24"/>
        </w:rPr>
        <w:t>Payment will not be made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Drugs dispensed by a physician or other legally qualified practitioner (dentist, podiatrist, optometrist, physician assistant (PA), or advanced registered nurse practitioner (ARNP)) unless it is established that there is no licensed retail pharmacy in the community in which the legally qualified practitioner’s office is maintained. Rate of payment shall be established as in subrule </w:t>
      </w:r>
      <w:hyperlink r:id="rId6">
        <w:r>
          <w:rPr>
            <w:rStyle w:val="Hyperlink"/>
            <w:rFonts w:ascii="Times New Roman" w:hAnsi="Times New Roman"/>
            <w:b w:val="false"/>
            <w:i w:val="false"/>
            <w:color w:val="000000"/>
            <w:sz w:val="24"/>
          </w:rPr>
          <w:t>78.2(2)</w:t>
        </w:r>
      </w:hyperlink>
      <w:r>
        <w:rPr>
          <w:rFonts w:ascii="Times New Roman" w:hAnsi="Times New Roman"/>
          <w:b w:val="false"/>
          <w:i w:val="false"/>
          <w:color w:val="000000"/>
          <w:sz w:val="24"/>
        </w:rPr>
        <w:t>, but no professional fee shall be paid. Payment will not be made for biological supplies and drugs provided free of charge to practitioners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Treatment of certain foot conditions as specified in paragraphs </w:t>
      </w:r>
      <w:hyperlink r:id="rId7">
        <w:r>
          <w:rPr>
            <w:rStyle w:val="Hyperlink"/>
            <w:rFonts w:ascii="Times New Roman" w:hAnsi="Times New Roman"/>
            <w:b w:val="false"/>
            <w:i w:val="false"/>
            <w:color w:val="000000"/>
            <w:sz w:val="24"/>
          </w:rPr>
          <w:t>78.15(3)</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Acupuncture treatments.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Unproven or experimental medical and surgical procedures. The criteria in effect in the Medicare program will be utilized in determining when a given procedure is unproven or experimental in nature.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Charges for surgical procedures on the “Outpatient/Same Day Surgery List” produced by Iowa Medicaid  or associated inpatient care charges when the procedure is performed in a hospital on an inpatient basis unless the physician has secured approval from the hospital’s utilization review department prior to the patient’s admission to the hospital. Approval will be granted only when inpatient care is deemed to be medically necessary based on the condition of the patient or when the surgical procedure is not performed as a routine, primary, independent procedure. The “Outpatient/Same Day Surgery List” will be published by the department in the provider manuals for hospitals and physicians as amended to July 1, 2026. The “Outpatient/Same Day Surgery List” will be developed by Iowa Medicaid and will include procedures that can safely and effectively be performed in a doctor’s office or on an outpatient basis in a hospital. Iowa Medicaid may add, delete, or modify entries on the “Outpatient/Same Day Surgery List.”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Elective, non-medically necessary cesarean section (C-section) deliveries.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78.1(2)</w:t>
      </w:r>
      <w:r>
        <w:rPr>
          <w:rFonts w:ascii="Times New Roman" w:hAnsi="Times New Roman"/>
          <w:b w:val="false"/>
          <w:i w:val="false"/>
          <w:color w:val="000000"/>
          <w:sz w:val="24"/>
        </w:rPr>
        <w:t> </w:t>
      </w:r>
      <w:r>
        <w:rPr>
          <w:rFonts w:ascii="Times New Roman" w:hAnsi="Times New Roman"/>
          <w:b w:val="false"/>
          <w:i w:val="false"/>
          <w:color w:val="000000"/>
          <w:sz w:val="24"/>
        </w:rPr>
        <w:t>Drugs and supplies may be covered when prescribed by a legally qualified practitioner as provided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Drugs are covered as provided by rule </w:t>
      </w:r>
      <w:hyperlink r:id="rId8">
        <w:r>
          <w:rPr>
            <w:rStyle w:val="Hyperlink"/>
            <w:rFonts w:ascii="Times New Roman" w:hAnsi="Times New Roman"/>
            <w:b w:val="false"/>
            <w:i w:val="false"/>
            <w:color w:val="000000"/>
            <w:sz w:val="24"/>
          </w:rPr>
          <w:t>441—78.2</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Medical supplies are payable when ordered by a legally qualified practitioner for a specific rather than incidental use, subject to the conditions specified in rule </w:t>
      </w:r>
      <w:hyperlink r:id="rId9">
        <w:r>
          <w:rPr>
            <w:rStyle w:val="Hyperlink"/>
            <w:rFonts w:ascii="Times New Roman" w:hAnsi="Times New Roman"/>
            <w:b w:val="false"/>
            <w:i w:val="false"/>
            <w:color w:val="000000"/>
            <w:sz w:val="24"/>
          </w:rPr>
          <w:t>441—78.10</w:t>
        </w:r>
      </w:hyperlink>
      <w:r>
        <w:rPr>
          <w:rFonts w:ascii="Times New Roman" w:hAnsi="Times New Roman"/>
          <w:b w:val="false"/>
          <w:i w:val="false"/>
          <w:color w:val="000000"/>
          <w:sz w:val="24"/>
        </w:rPr>
        <w:t>(249A). When a member is receiving care in a nursing facility or residential care facility, payment will be approved only for the following supplies when prescribed by a legally qualified practitioner: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Colostomy and ileostomy appliances.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Colostomy and ileostomy care dressings, liquid adhesive and adhesive tape.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Disposable irrigation trays or sets.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Disposable catheterization trays or sets.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Indwelling Foley catheter.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Disposable saline enemas.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Diabetic supplies including needles and syringes, blood glucose test strips, and diabetic urine test supplies.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Prescription records are required for all drugs as specified in Iowa Code sections </w:t>
      </w:r>
      <w:hyperlink r:id="rId10">
        <w:r>
          <w:rPr>
            <w:rStyle w:val="Hyperlink"/>
            <w:rFonts w:ascii="Times New Roman" w:hAnsi="Times New Roman"/>
            <w:b w:val="false"/>
            <w:i w:val="false"/>
            <w:color w:val="000000"/>
            <w:sz w:val="24"/>
          </w:rPr>
          <w:t>124.308</w:t>
        </w:r>
      </w:hyperlink>
      <w:r>
        <w:rPr>
          <w:rFonts w:ascii="Times New Roman" w:hAnsi="Times New Roman"/>
          <w:b w:val="false"/>
          <w:i w:val="false"/>
          <w:color w:val="000000"/>
          <w:sz w:val="24"/>
        </w:rPr>
        <w:t xml:space="preserve"> and </w:t>
      </w:r>
      <w:hyperlink r:id="rId11">
        <w:r>
          <w:rPr>
            <w:rStyle w:val="Hyperlink"/>
            <w:rFonts w:ascii="Times New Roman" w:hAnsi="Times New Roman"/>
            <w:b w:val="false"/>
            <w:i w:val="false"/>
            <w:color w:val="000000"/>
            <w:sz w:val="24"/>
          </w:rPr>
          <w:t>155A.27</w:t>
        </w:r>
      </w:hyperlink>
      <w:r>
        <w:rPr>
          <w:rFonts w:ascii="Times New Roman" w:hAnsi="Times New Roman"/>
          <w:b w:val="false"/>
          <w:i w:val="false"/>
          <w:color w:val="000000"/>
          <w:sz w:val="24"/>
        </w:rPr>
        <w:t>. For the purposes of the medical assistance program, prescriptions for medical supplies are required and will be subject to the same provisions.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 order to be paid for the administration of a vaccine covered under the Vaccines for Children (VFC) Program, a physician must enroll in the VFC program. Payment for the vaccine will be approved only if the VFC program stock has been depleted.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78.1(3)</w:t>
      </w:r>
      <w:r>
        <w:rPr>
          <w:rFonts w:ascii="Times New Roman" w:hAnsi="Times New Roman"/>
          <w:b w:val="false"/>
          <w:i w:val="false"/>
          <w:color w:val="000000"/>
          <w:sz w:val="24"/>
        </w:rPr>
        <w:t> </w:t>
      </w:r>
      <w:r>
        <w:rPr>
          <w:rFonts w:ascii="Times New Roman" w:hAnsi="Times New Roman"/>
          <w:b w:val="false"/>
          <w:i w:val="false"/>
          <w:color w:val="000000"/>
          <w:sz w:val="24"/>
        </w:rPr>
        <w:t>Payment will be approved for injections provided they are reasonable, necessary, and related to the diagnosis and treatment of an illness or injury. When billing for an injection, the legally qualified practitioner must specify the brand name of the drug and the manufacturer, the strength of the drug, the amount administered, and the charge of each injection. When the strength and dosage of the drug are not included, payment will be made based on the customary dosage. The following exclusions are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Payment will not be approved for injections when they are considered by standards of medical practice not to be specific or effective treatment for the particular condition for which they are administered.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Payment will not be approved for an injection when administered for a reason other than the treatment of a particular condition, illness, or injury.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Payment will not be approved when injection is not an indicated method of administration according to accepted standards of medical practice.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Allergenic extract materials provided the patient for self-administration shall not exceed a 90-day supply.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Payment will not be approved when an injection is determined to fall outside of what is medically reasonable or necessary based on basic standards of medical practice for the required level of care for a particular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Payment for vaccines available through the VFC program will be approved only if the VFC program stock has been depleted.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will not be approved for injections of “covered Part D drugs” as defined by </w:t>
      </w:r>
      <w:r>
        <w:rPr>
          <w:rFonts w:ascii="Times New Roman" w:hAnsi="Times New Roman"/>
          <w:b w:val="false"/>
          <w:i w:val="false"/>
          <w:color w:val="000000"/>
          <w:sz w:val="24"/>
        </w:rPr>
        <w:t>42 U.S.C.</w:t>
      </w:r>
      <w:r>
        <w:rPr>
          <w:rFonts w:ascii="Times New Roman" w:hAnsi="Times New Roman"/>
          <w:b w:val="false"/>
          <w:i w:val="false"/>
          <w:color w:val="000000"/>
          <w:sz w:val="24"/>
        </w:rPr>
        <w:t xml:space="preserve"> Section 1395w-102(e)(1)-(2) as amended to July 1, 2026, for any “Part D eligible individual” as defined in </w:t>
      </w:r>
      <w:r>
        <w:rPr>
          <w:rFonts w:ascii="Times New Roman" w:hAnsi="Times New Roman"/>
          <w:b w:val="false"/>
          <w:i w:val="false"/>
          <w:color w:val="000000"/>
          <w:sz w:val="24"/>
        </w:rPr>
        <w:t>42 U.S.C.</w:t>
      </w:r>
      <w:r>
        <w:rPr>
          <w:rFonts w:ascii="Times New Roman" w:hAnsi="Times New Roman"/>
          <w:b w:val="false"/>
          <w:i w:val="false"/>
          <w:color w:val="000000"/>
          <w:sz w:val="24"/>
        </w:rPr>
        <w:t xml:space="preserve"> Section 1395w-101(a)(3)(A) as amended to July 1, 2026, including an individual who is not enrolled in a Part D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78.1(4)</w:t>
      </w:r>
      <w:r>
        <w:rPr>
          <w:rFonts w:ascii="Times New Roman" w:hAnsi="Times New Roman"/>
          <w:b w:val="false"/>
          <w:i w:val="false"/>
          <w:color w:val="000000"/>
          <w:sz w:val="24"/>
        </w:rPr>
        <w:t> </w:t>
      </w:r>
      <w:r>
        <w:rPr>
          <w:rFonts w:ascii="Times New Roman" w:hAnsi="Times New Roman"/>
          <w:b w:val="false"/>
          <w:i w:val="false"/>
          <w:color w:val="000000"/>
          <w:sz w:val="24"/>
        </w:rPr>
        <w:t>For the purposes of this program, cosmetic, reconstructive, or plastic surgery is surgery that can be expected primarily to improve physical appearance or that is performed primarily for psychological purposes or that restores form but that does not correct or materially improve the bodily functions. When a surgical procedure primarily restores bodily function, whether or not there is also a concomitant improvement in physical appearance, the surgical procedure does not fall within the provisions set forth in this subrule. Surgeries for the purpose of sex reassignment are not considered as restoring bodily function and are excluded from coverage.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Coverage under the program is generally not available for cosmetic, reconstructive, or plastic surgery. However, under certain limited circumstances payment for otherwise covered services and supplies may be provided in connection with cosmetic, reconstructive, or plastic surgery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Correction of a congenital anomaly;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Restoration of body form following an accidental injury;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Revision of disfiguring and extensive scars resulting from neoplastic surgery.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Generally, coverage is limited to those cosmetic, reconstructive, or plastic surgery procedures performed no later than 12 months subsequent to the related accidental injury or surgical trauma. However, special consideration for exception will be given to cases involving children who may require a growth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Cosmetic, reconstructive, or plastic surgery performed in connection with certain conditions is specifically excluded. These conditions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Dental congenital anomalies, such as absent tooth buds, malocclusion, and similar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Procedures related to transsexualism, hermaphroditism, gender identity disorders, or body dysmorphic disorders. This subparagraph is intended to implement Iowa Code section </w:t>
      </w:r>
      <w:hyperlink r:id="rId12">
        <w:r>
          <w:rPr>
            <w:rStyle w:val="Hyperlink"/>
            <w:rFonts w:ascii="Times New Roman" w:hAnsi="Times New Roman"/>
            <w:b w:val="false"/>
            <w:i w:val="false"/>
            <w:color w:val="000000"/>
            <w:sz w:val="24"/>
          </w:rPr>
          <w:t>249A.14</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House File 1049</w:t>
      </w:r>
      <w:r>
        <w:rPr>
          <w:rFonts w:ascii="Times New Roman" w:hAnsi="Times New Roman"/>
          <w:b w:val="false"/>
          <w:i w:val="false"/>
          <w:color w:val="000000"/>
          <w:sz w:val="24"/>
        </w:rPr>
        <w:t>, section 14.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Cosmetic, reconstructive, or plastic surgery procedures performed primarily for psychological reasons or as a result of the aging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Breast augmentation mammoplasty, surgical insertion of prosthetic testicles, penile implant procedures, and surgeries for the purpose of sex reassignment.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When it is determined that a cosmetic, reconstructive, or plastic surgery procedure does not qualify for coverage under the program, all related services and supplies, including any institutional costs, are also excluded.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Following is a partial list of cosmetic, reconstructive, or plastic surgery procedures that are not covered under the program. This list is for example purposes only and is not considered all-inclusive.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Any procedure performed for personal reasons to improve the appearance of an obvious feature or part of the body that would be considered by an average observer to be normal and acceptable for the patient’s age or ethnic or racial background.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Cosmetic, reconstructive, or plastic surgical procedures that are justified primarily on the basis of a psychological or psychiatric need.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Augmentation mammoplasties.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Face lifts and other procedures related to the aging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Reduction mammoplasties, unless there is medical documentation of intractable pain not amenable to other forms of treatment as the result of increasingly large pendulous breasts.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Panniculectomy and body sculpture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Repair of sagging eyelids unless there is demonstrated and medically documented significant impairment of 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Rhinoplasties unless there is evidence of accidental injury occurring within the past six months that resulted in significant obstruction of breathing.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Chemical peeling for facial wrinkles.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Dermabrasion of the face.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Revision of scars resulting from surgery or a disease process, except disfiguring and extensive scars resulting from neoplastic surgery.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Removal of tattoos.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Hair transplants.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Electrolysis.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Sex reassignment.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Penile implant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(17)</w:t>
      </w:r>
      <w:r>
        <w:rPr>
          <w:rFonts w:ascii="Times New Roman" w:hAnsi="Times New Roman"/>
          <w:b w:val="false"/>
          <w:i w:val="false"/>
          <w:color w:val="000000"/>
          <w:sz w:val="24"/>
        </w:rPr>
        <w:t>  </w:t>
      </w:r>
      <w:r>
        <w:rPr>
          <w:rFonts w:ascii="Times New Roman" w:hAnsi="Times New Roman"/>
          <w:b w:val="false"/>
          <w:i w:val="false"/>
          <w:color w:val="000000"/>
          <w:sz w:val="24"/>
        </w:rPr>
        <w:t>Insertion of prosthetic testicles.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Coverage is available for otherwise covered services and supplies required in the treatment of complications resulting from a noncovered incident or treatment, but only when the subsequent complications represent a separate medical condition such as systemic infection, cardiac arrest, acute drug reaction, or similar conditions. Coverage will not be extended for any subsequent care or procedure related to the complication that is essentially similar to the initial noncovered care. An example of a complication similar to the initial period of care would be repair of facial scarring resulting from dermabrasion for acne.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78.1(5)</w:t>
      </w:r>
      <w:r>
        <w:rPr>
          <w:rFonts w:ascii="Times New Roman" w:hAnsi="Times New Roman"/>
          <w:b w:val="false"/>
          <w:i w:val="false"/>
          <w:color w:val="000000"/>
          <w:sz w:val="24"/>
        </w:rPr>
        <w:t> </w:t>
      </w:r>
      <w:r>
        <w:rPr>
          <w:rFonts w:ascii="Times New Roman" w:hAnsi="Times New Roman"/>
          <w:b w:val="false"/>
          <w:i w:val="false"/>
          <w:color w:val="000000"/>
          <w:sz w:val="24"/>
        </w:rPr>
        <w:t xml:space="preserve">The legally qualified practitioner’s prescription for medical equipment, appliances, or prosthetic devices shall include the patient’s diagnosis and prognosis, the reason the item is required, and an estimate in months of the duration of the need. Payment will be made in accordance with rule </w:t>
      </w:r>
      <w:hyperlink r:id="rId13">
        <w:r>
          <w:rPr>
            <w:rStyle w:val="Hyperlink"/>
            <w:rFonts w:ascii="Times New Roman" w:hAnsi="Times New Roman"/>
            <w:b w:val="false"/>
            <w:i w:val="false"/>
            <w:color w:val="000000"/>
            <w:sz w:val="24"/>
          </w:rPr>
          <w:t>441—78.10</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78.1(6)</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will be approved for the examination to establish the need for orthopedic shoes in accordance with rule </w:t>
      </w:r>
      <w:hyperlink r:id="rId14">
        <w:r>
          <w:rPr>
            <w:rStyle w:val="Hyperlink"/>
            <w:rFonts w:ascii="Times New Roman" w:hAnsi="Times New Roman"/>
            <w:b w:val="false"/>
            <w:i w:val="false"/>
            <w:color w:val="000000"/>
            <w:sz w:val="24"/>
          </w:rPr>
          <w:t>441—78.15</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78.1(7)</w:t>
      </w:r>
      <w:r>
        <w:rPr>
          <w:rFonts w:ascii="Times New Roman" w:hAnsi="Times New Roman"/>
          <w:b w:val="false"/>
          <w:i w:val="false"/>
          <w:color w:val="000000"/>
          <w:sz w:val="24"/>
        </w:rPr>
        <w:t> </w:t>
      </w:r>
      <w:r>
        <w:rPr>
          <w:rFonts w:ascii="Times New Roman" w:hAnsi="Times New Roman"/>
          <w:b w:val="false"/>
          <w:i w:val="false"/>
          <w:color w:val="000000"/>
          <w:sz w:val="24"/>
        </w:rPr>
        <w:t>No payment will be made for the services of a private duty nurse.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78.1(8)</w:t>
      </w:r>
      <w:r>
        <w:rPr>
          <w:rFonts w:ascii="Times New Roman" w:hAnsi="Times New Roman"/>
          <w:b w:val="false"/>
          <w:i w:val="false"/>
          <w:color w:val="000000"/>
          <w:sz w:val="24"/>
        </w:rPr>
        <w:t> </w:t>
      </w:r>
      <w:r>
        <w:rPr>
          <w:rFonts w:ascii="Times New Roman" w:hAnsi="Times New Roman"/>
          <w:b w:val="false"/>
          <w:i w:val="false"/>
          <w:color w:val="000000"/>
          <w:sz w:val="24"/>
        </w:rPr>
        <w:t>Payment for mileage will be the same as that in effect in part B of Medicare.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78.1(9)</w:t>
      </w:r>
      <w:r>
        <w:rPr>
          <w:rFonts w:ascii="Times New Roman" w:hAnsi="Times New Roman"/>
          <w:b w:val="false"/>
          <w:i w:val="false"/>
          <w:color w:val="000000"/>
          <w:sz w:val="24"/>
        </w:rPr>
        <w:t> </w:t>
      </w:r>
      <w:r>
        <w:rPr>
          <w:rFonts w:ascii="Times New Roman" w:hAnsi="Times New Roman"/>
          <w:b w:val="false"/>
          <w:i w:val="false"/>
          <w:color w:val="000000"/>
          <w:sz w:val="24"/>
        </w:rPr>
        <w:t>Payment will be approved for visits to patients in nursing facilities subject to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Payment will be approved for only one visit to the same patient in a calendar month. Payment for further visits will be made only when the need for the visits is adequately documented by the physician.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only one patient is seen in a single visit, the allowance will be based on a follow-up home visit. When more than one patient is seen in a single visit, payment will be based on a follow-up office visit. In the absence of information on the claim, the carrier will assume that more than one patient was seen, and payment approved on that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Payment will be approved for mileage in connection with nursing home visits when: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It is necessary for the physician to travel outside the home community,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There are not physicians in the community in which the nursing home is 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will be approved for tasks related to a resident receiving nursing facility care that are performed by a nurse practitioner or PA as specified in </w:t>
      </w:r>
      <w:r>
        <w:rPr>
          <w:rFonts w:ascii="Times New Roman" w:hAnsi="Times New Roman"/>
          <w:b w:val="false"/>
          <w:i w:val="false"/>
          <w:color w:val="000000"/>
          <w:sz w:val="24"/>
        </w:rPr>
        <w:t>42 CFR 483.30(f)</w:t>
      </w:r>
      <w:r>
        <w:rPr>
          <w:rFonts w:ascii="Times New Roman" w:hAnsi="Times New Roman"/>
          <w:b w:val="false"/>
          <w:i w:val="false"/>
          <w:color w:val="000000"/>
          <w:sz w:val="24"/>
        </w:rPr>
        <w:t>. On-site supervision of the physician is not required for these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78.1(10)</w:t>
      </w:r>
      <w:r>
        <w:rPr>
          <w:rFonts w:ascii="Times New Roman" w:hAnsi="Times New Roman"/>
          <w:b w:val="false"/>
          <w:i w:val="false"/>
          <w:color w:val="000000"/>
          <w:sz w:val="24"/>
        </w:rPr>
        <w:t> </w:t>
      </w:r>
      <w:r>
        <w:rPr>
          <w:rFonts w:ascii="Times New Roman" w:hAnsi="Times New Roman"/>
          <w:b w:val="false"/>
          <w:i w:val="false"/>
          <w:color w:val="000000"/>
          <w:sz w:val="24"/>
        </w:rPr>
        <w:t>Payment will be approved in independent laboratory when it has been certified as eligible to participate in Medicare.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78.1(11)</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78.1(12)</w:t>
      </w:r>
      <w:r>
        <w:rPr>
          <w:rFonts w:ascii="Times New Roman" w:hAnsi="Times New Roman"/>
          <w:b w:val="false"/>
          <w:i w:val="false"/>
          <w:color w:val="000000"/>
          <w:sz w:val="24"/>
        </w:rPr>
        <w:t> </w:t>
      </w:r>
      <w:r>
        <w:rPr>
          <w:rFonts w:ascii="Times New Roman" w:hAnsi="Times New Roman"/>
          <w:b w:val="false"/>
          <w:i w:val="false"/>
          <w:color w:val="000000"/>
          <w:sz w:val="24"/>
        </w:rPr>
        <w:t>Payment will be made on the same basis as in Medicare for services associated with treatment of chronic renal disease including physician’s services, hospital care, renal transplantation, and hemodialysis, whether performed on an inpatient or outpatient basis. Payment will be made for deductibles and coinsurance for those persons eligible for Medicare.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78.1(13)</w:t>
      </w:r>
      <w:r>
        <w:rPr>
          <w:rFonts w:ascii="Times New Roman" w:hAnsi="Times New Roman"/>
          <w:b w:val="false"/>
          <w:i w:val="false"/>
          <w:color w:val="000000"/>
          <w:sz w:val="24"/>
        </w:rPr>
        <w:t> </w:t>
      </w:r>
      <w:r>
        <w:rPr>
          <w:rFonts w:ascii="Times New Roman" w:hAnsi="Times New Roman"/>
          <w:b w:val="false"/>
          <w:i w:val="false"/>
          <w:color w:val="000000"/>
          <w:sz w:val="24"/>
        </w:rPr>
        <w:t>Payment will be made to the physician for services rendered by auxiliary personnel employed by the physician and working under the direct personal supervision of the physician, when such services are performed incident to the physician’s professional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Auxiliary personnel are nurses, psychologists, social workers, audiologists, occupational therapists and physical therapists.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auxiliary person is considered to be an employee of the physician if the physician: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Is able to control the manner in which the work is performed, i.e., is able to control when, where and how the work is done. This control need not be actually exercised by the physician.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Sets work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Establishes job description.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Withholds taxes from the wages of the auxiliary personnel.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Direct personal supervision.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Direct personal supervision in the office setting means the physician must be present in the same office suite, not necessarily the same room, and be available to provide immediate assistance and direction.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Direct personal supervision outside the office setting, such as the member’s home, hospital, emergency room, or nursing facility, means the physician must be present in the same room as the auxiliary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ARNPs certified under board of nursing rules in </w:t>
      </w:r>
      <w:hyperlink r:id="rId15">
        <w:r>
          <w:rPr>
            <w:rStyle w:val="Hyperlink"/>
            <w:rFonts w:ascii="Times New Roman" w:hAnsi="Times New Roman"/>
            <w:b w:val="false"/>
            <w:i w:val="false"/>
            <w:color w:val="000000"/>
            <w:sz w:val="24"/>
          </w:rPr>
          <w:t>481—Chapter 621</w:t>
        </w:r>
      </w:hyperlink>
      <w:r>
        <w:rPr>
          <w:rFonts w:ascii="Times New Roman" w:hAnsi="Times New Roman"/>
          <w:b w:val="false"/>
          <w:i w:val="false"/>
          <w:color w:val="000000"/>
          <w:sz w:val="24"/>
        </w:rPr>
        <w:t xml:space="preserve"> performing services within their scope of practice are exempt from the direct personal supervision requirement for the purpose of reimbursement to the employing physicians. In these exempted circumstances, the employing physicians must still provide general supervision and be available to provide immediate needed assistance by telephone. ARNPs who prescribe drugs and medical devices are subject to the guidelines in effect for physicians as specified in rule </w:t>
      </w:r>
      <w:hyperlink r:id="rId16">
        <w:r>
          <w:rPr>
            <w:rStyle w:val="Hyperlink"/>
            <w:rFonts w:ascii="Times New Roman" w:hAnsi="Times New Roman"/>
            <w:b w:val="false"/>
            <w:i w:val="false"/>
            <w:color w:val="000000"/>
            <w:sz w:val="24"/>
          </w:rPr>
          <w:t>441—78.1</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A PA licensed under board of PAs’ professional licensure rules in 481—Chapters </w:t>
      </w:r>
      <w:hyperlink r:id="rId17">
        <w:r>
          <w:rPr>
            <w:rStyle w:val="Hyperlink"/>
            <w:rFonts w:ascii="Times New Roman" w:hAnsi="Times New Roman"/>
            <w:b w:val="false"/>
            <w:i w:val="false"/>
            <w:color w:val="000000"/>
            <w:sz w:val="24"/>
          </w:rPr>
          <w:t>780</w:t>
        </w:r>
      </w:hyperlink>
      <w:r>
        <w:rPr>
          <w:rFonts w:ascii="Times New Roman" w:hAnsi="Times New Roman"/>
          <w:b w:val="false"/>
          <w:i w:val="false"/>
          <w:color w:val="000000"/>
          <w:sz w:val="24"/>
        </w:rPr>
        <w:t xml:space="preserve"> through </w:t>
      </w:r>
      <w:hyperlink r:id="rId18">
        <w:r>
          <w:rPr>
            <w:rStyle w:val="Hyperlink"/>
            <w:rFonts w:ascii="Times New Roman" w:hAnsi="Times New Roman"/>
            <w:b w:val="false"/>
            <w:i w:val="false"/>
            <w:color w:val="000000"/>
            <w:sz w:val="24"/>
          </w:rPr>
          <w:t>784</w:t>
        </w:r>
      </w:hyperlink>
      <w:r>
        <w:rPr>
          <w:rFonts w:ascii="Times New Roman" w:hAnsi="Times New Roman"/>
          <w:b w:val="false"/>
          <w:i w:val="false"/>
          <w:color w:val="000000"/>
          <w:sz w:val="24"/>
        </w:rPr>
        <w:t xml:space="preserve"> is exempt from the direct personal supervision requirement, except as expressly required by Iowa Code chapter </w:t>
      </w:r>
      <w:hyperlink r:id="rId19">
        <w:r>
          <w:rPr>
            <w:rStyle w:val="Hyperlink"/>
            <w:rFonts w:ascii="Times New Roman" w:hAnsi="Times New Roman"/>
            <w:b w:val="false"/>
            <w:i w:val="false"/>
            <w:color w:val="000000"/>
            <w:sz w:val="24"/>
          </w:rPr>
          <w:t>148C</w:t>
        </w:r>
      </w:hyperlink>
      <w:r>
        <w:rPr>
          <w:rFonts w:ascii="Times New Roman" w:hAnsi="Times New Roman"/>
          <w:b w:val="false"/>
          <w:i w:val="false"/>
          <w:color w:val="000000"/>
          <w:sz w:val="24"/>
        </w:rPr>
        <w:t xml:space="preserve"> or 481—Chapters </w:t>
      </w:r>
      <w:hyperlink r:id="rId20">
        <w:r>
          <w:rPr>
            <w:rStyle w:val="Hyperlink"/>
            <w:rFonts w:ascii="Times New Roman" w:hAnsi="Times New Roman"/>
            <w:b w:val="false"/>
            <w:i w:val="false"/>
            <w:color w:val="000000"/>
            <w:sz w:val="24"/>
          </w:rPr>
          <w:t>780</w:t>
        </w:r>
      </w:hyperlink>
      <w:r>
        <w:rPr>
          <w:rFonts w:ascii="Times New Roman" w:hAnsi="Times New Roman"/>
          <w:b w:val="false"/>
          <w:i w:val="false"/>
          <w:color w:val="000000"/>
          <w:sz w:val="24"/>
        </w:rPr>
        <w:t xml:space="preserve"> through </w:t>
      </w:r>
      <w:hyperlink r:id="rId21">
        <w:r>
          <w:rPr>
            <w:rStyle w:val="Hyperlink"/>
            <w:rFonts w:ascii="Times New Roman" w:hAnsi="Times New Roman"/>
            <w:b w:val="false"/>
            <w:i w:val="false"/>
            <w:color w:val="000000"/>
            <w:sz w:val="24"/>
          </w:rPr>
          <w:t>784</w:t>
        </w:r>
      </w:hyperlink>
      <w:r>
        <w:rPr>
          <w:rFonts w:ascii="Times New Roman" w:hAnsi="Times New Roman"/>
          <w:b w:val="false"/>
          <w:i w:val="false"/>
          <w:color w:val="000000"/>
          <w:sz w:val="24"/>
        </w:rPr>
        <w:t xml:space="preserve">. A physician shall be accessible at all times for consultation with a PA unless the PA is providing emergency medical services pursuant to </w:t>
      </w:r>
      <w:hyperlink r:id="rId22">
        <w:r>
          <w:rPr>
            <w:rStyle w:val="Hyperlink"/>
            <w:rFonts w:ascii="Times New Roman" w:hAnsi="Times New Roman"/>
            <w:b w:val="false"/>
            <w:i w:val="false"/>
            <w:color w:val="000000"/>
            <w:sz w:val="24"/>
          </w:rPr>
          <w:t>481—subrule 781.1(3)</w:t>
        </w:r>
      </w:hyperlink>
      <w:r>
        <w:rPr>
          <w:rFonts w:ascii="Times New Roman" w:hAnsi="Times New Roman"/>
          <w:b w:val="false"/>
          <w:i w:val="false"/>
          <w:color w:val="000000"/>
          <w:sz w:val="24"/>
        </w:rPr>
        <w:t xml:space="preserve">. PAs who prescribe drugs and medical devices are subject to the guidelines in effect for physicians as specified in rule </w:t>
      </w:r>
      <w:hyperlink r:id="rId23">
        <w:r>
          <w:rPr>
            <w:rStyle w:val="Hyperlink"/>
            <w:rFonts w:ascii="Times New Roman" w:hAnsi="Times New Roman"/>
            <w:b w:val="false"/>
            <w:i w:val="false"/>
            <w:color w:val="000000"/>
            <w:sz w:val="24"/>
          </w:rPr>
          <w:t>441—78.1</w:t>
        </w:r>
      </w:hyperlink>
      <w:r>
        <w:rPr>
          <w:rFonts w:ascii="Times New Roman" w:hAnsi="Times New Roman"/>
          <w:b w:val="false"/>
          <w:i w:val="false"/>
          <w:color w:val="000000"/>
          <w:sz w:val="24"/>
        </w:rPr>
        <w:t xml:space="preserve">(249A) or required by rules in 481—Chapters </w:t>
      </w:r>
      <w:hyperlink r:id="rId24">
        <w:r>
          <w:rPr>
            <w:rStyle w:val="Hyperlink"/>
            <w:rFonts w:ascii="Times New Roman" w:hAnsi="Times New Roman"/>
            <w:b w:val="false"/>
            <w:i w:val="false"/>
            <w:color w:val="000000"/>
            <w:sz w:val="24"/>
          </w:rPr>
          <w:t>780</w:t>
        </w:r>
      </w:hyperlink>
      <w:r>
        <w:rPr>
          <w:rFonts w:ascii="Times New Roman" w:hAnsi="Times New Roman"/>
          <w:b w:val="false"/>
          <w:i w:val="false"/>
          <w:color w:val="000000"/>
          <w:sz w:val="24"/>
        </w:rPr>
        <w:t xml:space="preserve"> through </w:t>
      </w:r>
      <w:hyperlink r:id="rId25">
        <w:r>
          <w:rPr>
            <w:rStyle w:val="Hyperlink"/>
            <w:rFonts w:ascii="Times New Roman" w:hAnsi="Times New Roman"/>
            <w:b w:val="false"/>
            <w:i w:val="false"/>
            <w:color w:val="000000"/>
            <w:sz w:val="24"/>
          </w:rPr>
          <w:t>784</w:t>
        </w:r>
      </w:hyperlink>
      <w:r>
        <w:rPr>
          <w:rFonts w:ascii="Times New Roman" w:hAnsi="Times New Roman"/>
          <w:b w:val="false"/>
          <w:i w:val="false"/>
          <w:color w:val="000000"/>
          <w:sz w:val="24"/>
        </w:rPr>
        <w:t xml:space="preserve">.  PAs who prescribe drugs and medical devices are subject to the guidelines in effect for physicians as specified in rule </w:t>
      </w:r>
      <w:hyperlink r:id="rId26">
        <w:r>
          <w:rPr>
            <w:rStyle w:val="Hyperlink"/>
            <w:rFonts w:ascii="Times New Roman" w:hAnsi="Times New Roman"/>
            <w:b w:val="false"/>
            <w:i w:val="false"/>
            <w:color w:val="000000"/>
            <w:sz w:val="24"/>
          </w:rPr>
          <w:t>441—78.1</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Services incident to the professional services of the physician means the service provided by the auxiliary person must be related to the physician’s professional service to the member. If the physician has not or will not perform a personal professional service to the member, the clinical records must document that the physician assigned treatment of the member to the auxiliary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78.1(14)</w:t>
      </w:r>
      <w:r>
        <w:rPr>
          <w:rFonts w:ascii="Times New Roman" w:hAnsi="Times New Roman"/>
          <w:b w:val="false"/>
          <w:i w:val="false"/>
          <w:color w:val="000000"/>
          <w:sz w:val="24"/>
        </w:rPr>
        <w:t> </w:t>
      </w:r>
      <w:r>
        <w:rPr>
          <w:rFonts w:ascii="Times New Roman" w:hAnsi="Times New Roman"/>
          <w:b w:val="false"/>
          <w:i w:val="false"/>
          <w:color w:val="000000"/>
          <w:sz w:val="24"/>
        </w:rPr>
        <w:t>Payment will be made for persons aged 20 and under for nutritional counseling provided by a licensed dietitian employed by or under contract with a physician for a nutritional problem or condition of a degree of severity that nutritional counseling beyond that normally expected as part of the standard medical management is warranted. For persons eligible for the Special Supplemental Nutrition Program for Women, Infants, and Children (WIC), a WIC referral is required. Medical necessity for nutritional counseling services exceeding those available through WIC shall be documented.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78.1(15)</w:t>
      </w:r>
      <w:r>
        <w:rPr>
          <w:rFonts w:ascii="Times New Roman" w:hAnsi="Times New Roman"/>
          <w:b w:val="false"/>
          <w:i w:val="false"/>
          <w:color w:val="000000"/>
          <w:sz w:val="24"/>
        </w:rPr>
        <w:t> </w:t>
      </w:r>
      <w:r>
        <w:rPr>
          <w:rFonts w:ascii="Times New Roman" w:hAnsi="Times New Roman"/>
          <w:b w:val="false"/>
          <w:i w:val="false"/>
          <w:color w:val="000000"/>
          <w:sz w:val="24"/>
        </w:rPr>
        <w:t>The certification of inpatient hospital care will be the same as that in effect in part A of Medicare. The hospital admittance record is sufficient for the original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78.1(16)</w:t>
      </w:r>
      <w:r>
        <w:rPr>
          <w:rFonts w:ascii="Times New Roman" w:hAnsi="Times New Roman"/>
          <w:b w:val="false"/>
          <w:i w:val="false"/>
          <w:color w:val="000000"/>
          <w:sz w:val="24"/>
        </w:rPr>
        <w:t> </w:t>
      </w:r>
      <w:r>
        <w:rPr>
          <w:rFonts w:ascii="Times New Roman" w:hAnsi="Times New Roman"/>
          <w:b w:val="false"/>
          <w:i w:val="false"/>
          <w:color w:val="000000"/>
          <w:sz w:val="24"/>
        </w:rPr>
        <w:t>No payment will be made for sterilization of an individual under the age of 21 or who is mentally incompetent or institutionalized. Payment will be made for sterilization performed on an individual who is aged 21 or older at the time the informed consent is obtained and who is mentally competent and not institutionalized when all the conditions in this subrule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following definitions are pertinent to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Sterilization means any medical procedure, treatment, or operation performed for the purpose of rendering an individual permanently incapable of reproducing and that is not a necessary part of the treatment of an existing illness or medically indicated as an accompaniment of an operation on the genital urinary tract. Mental illness is not considered an illness or injury.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Hysterectomy means a medical procedure or operation to remove the uterus.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Mentally incompetent individual means a person who has been declared mentally incompetent by a federal, state or local court of jurisdiction for any purpose unless the individual has been declared competent for purposes that include the ability to consent to sterilization.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Institutionalized individual means an individual who is involuntarily confined or detained, under a civil or criminal statute, in a correctional or rehabilitative facility, including a mental hospital or other facility for the care and treatment of mental illness, or an individual who is confined under a voluntary commitment in a mental hospital or other facility for the care and treatment of mental illness.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sterilization shall be performed as the result of a voluntary request for the services made by the person on whom the sterilization is performed. The person’s consent for sterilization shall be documented 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department consent form,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official sterilization consent form from another state’s Medicaid program that contains all information found on the department form and complies with all applicable federal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person shall be advised prior to the receipt of consent that no benefits provided under the medical assistance program or other programs administered by the department may be withdrawn or withheld by reason of a decision not to be sterilized.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person shall be informed that the consent can be withheld or withdrawn any time prior to the sterilization without prejudicing future care and without loss of other project or program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person shall be given a complete explanation of the sterilization. The explanation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description of available alternative methods and the effect and impact of the proposed sterilization including the fact that it must be considered to be an irreversible procedure.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thorough description of the specific sterilization procedure to be performed and benefits expected.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description of the attendant discomforts and risks including the type and possible effects of any anesthetic to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 offer to answer any inquiries the person to be sterilized may have concerning the procedure to be performed. The individual shall be provided a copy of the informed consent form in addition to the oral presentation.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At least 30 days and not more than 180 days shall have elapsed following the signing of the informed consent, except in the case of premature delivery or emergency abdominal surgery that occurs not less than 72 hours after the informed consent was signed. The informed consent shall have been signed at least 30 days before the expected delivery date for premature deliveries.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The information in paragraphs </w:t>
      </w:r>
      <w:hyperlink r:id="rId27">
        <w:r>
          <w:rPr>
            <w:rStyle w:val="Hyperlink"/>
            <w:rFonts w:ascii="Times New Roman" w:hAnsi="Times New Roman"/>
            <w:b w:val="false"/>
            <w:i w:val="false"/>
            <w:color w:val="000000"/>
            <w:sz w:val="24"/>
          </w:rPr>
          <w:t>78.1(16)</w:t>
        </w:r>
      </w:hyperlink>
      <w:r>
        <w:rPr>
          <w:rFonts w:ascii="Times New Roman" w:hAnsi="Times New Roman"/>
          <w:b w:val="false"/>
          <w:i/>
          <w:color w:val="000000"/>
          <w:sz w:val="24"/>
        </w:rPr>
        <w:t>“b”</w:t>
      </w:r>
      <w:r>
        <w:rPr>
          <w:rFonts w:ascii="Times New Roman" w:hAnsi="Times New Roman"/>
          <w:b w:val="false"/>
          <w:i w:val="false"/>
          <w:color w:val="000000"/>
          <w:sz w:val="24"/>
        </w:rPr>
        <w:t xml:space="preserve"> through </w:t>
      </w:r>
      <w:r>
        <w:rPr>
          <w:rFonts w:ascii="Times New Roman" w:hAnsi="Times New Roman"/>
          <w:b w:val="false"/>
          <w:i/>
          <w:color w:val="000000"/>
          <w:sz w:val="24"/>
        </w:rPr>
        <w:t>“f”</w:t>
      </w:r>
      <w:r>
        <w:rPr>
          <w:rFonts w:ascii="Times New Roman" w:hAnsi="Times New Roman"/>
          <w:b w:val="false"/>
          <w:i w:val="false"/>
          <w:color w:val="000000"/>
          <w:sz w:val="24"/>
        </w:rPr>
        <w:t xml:space="preserve"> shall be effectively presented to a blind, deaf, hard-of-hearing, or otherwise disabled individual and an interpreter shall be provided when the individual to be sterilized does not understand the language used on the consent form or used by the person obtaining consent. The individual to be sterilized may have a witness of the individual’s choice present when consent is obtained.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consent form described in paragraph </w:t>
      </w:r>
      <w:hyperlink r:id="rId28">
        <w:r>
          <w:rPr>
            <w:rStyle w:val="Hyperlink"/>
            <w:rFonts w:ascii="Times New Roman" w:hAnsi="Times New Roman"/>
            <w:b w:val="false"/>
            <w:i w:val="false"/>
            <w:color w:val="000000"/>
            <w:sz w:val="24"/>
          </w:rPr>
          <w:t>78.1(16)</w:t>
        </w:r>
        <w:r>
          <w:rPr>
            <w:rFonts w:ascii="Times New Roman" w:hAnsi="Times New Roman"/>
            <w:b w:val="false"/>
            <w:i/>
            <w:color w:val="000000"/>
            <w:sz w:val="24"/>
          </w:rPr>
          <w:t>“b”</w:t>
        </w:r>
      </w:hyperlink>
      <w:r>
        <w:rPr>
          <w:rFonts w:ascii="Times New Roman" w:hAnsi="Times New Roman"/>
          <w:b w:val="false"/>
          <w:i w:val="false"/>
          <w:color w:val="000000"/>
          <w:sz w:val="24"/>
        </w:rPr>
        <w:t xml:space="preserve"> shall be attached to the claim for payment and shall be signed by all parties required by the form.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Informed consent shall not be obtained while the individual to be sterilized 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 labor or childbirth,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Seeking to obtain or obtaining an abortion,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Under the influence of alcohol or other substance that affects the individual’s state of awareness.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Payment will be made for a medically necessary hysterectomy only when it is performed for a purpose other than sterilization and only when one or more of the following conditions is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individual or representative has signed an acknowledgment of having been informed orally and in writing from the person authorized to perform the hysterectomy that the hysterectomy will make the individual permanently incapable of reproducing,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individual was already sterile before the hysterectomy, the physician has certified in writing that the individual was already sterile at the time of the hysterectomy, and the physician has stated the cause of the sterility,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hysterectomy was performed as a result of a life-threatening emergency situation in which the physician determined that prior acknowledgment was not possible and the physician includes a description of the nature of the emergency.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78.1(17)</w:t>
      </w:r>
      <w:r>
        <w:rPr>
          <w:rFonts w:ascii="Times New Roman" w:hAnsi="Times New Roman"/>
          <w:b w:val="false"/>
          <w:i w:val="false"/>
          <w:color w:val="000000"/>
          <w:sz w:val="24"/>
        </w:rPr>
        <w:t> </w:t>
      </w:r>
      <w:r>
        <w:rPr>
          <w:rFonts w:ascii="Times New Roman" w:hAnsi="Times New Roman"/>
          <w:b w:val="false"/>
          <w:i w:val="false"/>
          <w:color w:val="000000"/>
          <w:sz w:val="24"/>
        </w:rPr>
        <w:t>Abortions. Payment for an abortion or related service is made when a Certification Regarding Abortion form is completed for the applicable circumstances and is attached to each claim for services. Payment for an abortion is made under one of the following circumstances: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physician certifies that the pregnant woman’s life would be endangered if the fetus were carried to term.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physician certifies that the fetus is physically deformed, mentally deficient or afflicted with a congenital illness and the physician states the medical indication for determining the fetal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pregnancy was the result of rape reported to a law enforcement agency or public or private health agency which may include a family physician within 45 days of the date of occurrence of the incident. The report shall include the name, address, and signature of the person making the report. The Certification Regarding Abortion form shall be signed by the person receiving the report of the rape.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pregnancy was the result of incest reported to a law enforcement agency or public or private health agency including a family physician no later than 150 days after the date of occurrence. The report shall include the name, address, and signature of the person making the report. The Certification Regarding Abortion form shall be signed by the person receiving the report of incest.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78.1(18)</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and procedure for obtaining eyeglasses, contact lenses, and visual aids shall be the same as described in rule </w:t>
      </w:r>
      <w:hyperlink r:id="rId29">
        <w:r>
          <w:rPr>
            <w:rStyle w:val="Hyperlink"/>
            <w:rFonts w:ascii="Times New Roman" w:hAnsi="Times New Roman"/>
            <w:b w:val="false"/>
            <w:i w:val="false"/>
            <w:color w:val="000000"/>
            <w:sz w:val="24"/>
          </w:rPr>
          <w:t>441—78.6</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78.1(19)</w:t>
      </w:r>
      <w:r>
        <w:rPr>
          <w:rFonts w:ascii="Times New Roman" w:hAnsi="Times New Roman"/>
          <w:b w:val="false"/>
          <w:i w:val="false"/>
          <w:color w:val="000000"/>
          <w:sz w:val="24"/>
        </w:rPr>
        <w:t> </w:t>
      </w:r>
      <w:r>
        <w:rPr>
          <w:rFonts w:ascii="Times New Roman" w:hAnsi="Times New Roman"/>
          <w:b w:val="false"/>
          <w:i w:val="false"/>
          <w:color w:val="000000"/>
          <w:sz w:val="24"/>
        </w:rPr>
        <w:t>Preprocedure review by Iowa Medicaid will be required if payment under Medicaid is to be made for certain frequently performed surgical procedures that have a wide variation in the relative frequency the procedures are performed. Preprocedure surgical review applies to surgeries performed in hospitals (outpatient and inpatient) and ambulatory surgical centers. Approval by Iowa Medicaid will be granted only if the procedures are determined to be medically necessary based on the condition of the patient and the criteria established by Iowa Medicaid. If not so approved by Iowa Medicaid, payment will not be made under the program to the physician or to the facility in which the surgery is performed. The criteria are available from Iowa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78.1(20)</w:t>
      </w:r>
      <w:r>
        <w:rPr>
          <w:rFonts w:ascii="Times New Roman" w:hAnsi="Times New Roman"/>
          <w:b w:val="false"/>
          <w:i w:val="false"/>
          <w:color w:val="000000"/>
          <w:sz w:val="24"/>
        </w:rPr>
        <w:t> </w:t>
      </w:r>
      <w:r>
        <w:rPr>
          <w:rFonts w:ascii="Times New Roman" w:hAnsi="Times New Roman"/>
          <w:b w:val="false"/>
          <w:i w:val="false"/>
          <w:color w:val="000000"/>
          <w:sz w:val="24"/>
        </w:rPr>
        <w:t>Transplants.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Payment will be made only for the following organ and tissue transplant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Kidney, cornea, skin, and bone transplants.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Allogeneic stem cell transplants for the treatment of aplastic anemia, severe combined immunodeficiency disease (SCID), Wiskott-Aldrich syndrome, follicular lymphoma, Fanconi anemia, paroxysmal nocturnal hemoglobinuria, pure red cell aplasia, amegakaryocytosis/congenital thrombocytopenia, beta thalassemia major, sickle cell disease, Hurler’s syndrome (mucopolysaccharidosis type 1 [MPS-1]), adrenoleukodystrophy, metachromatic leukodystrophy, refractory anemia, agnogenic myeloid metaplasia (myelofibrosis), familial erythrophagocytic lymphohistiocytosis and other histiocytic disorders, acute myelofibrosis, Diamond-Blackfan anemia, epidermolysis bullosa, or the following types of leukemia: acute myelocytic leukemia, chronic myelogenous leukemia, juvenile myelomonocytic leukemia, chronic myelomonocytic leukemia, acute myelogenous leukemia, and acute lymphocytic leukemia.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Autologous stem cell transplants for treatment of the following conditions: acute leukemia; chronic lymphocytic leukemia; plasma cell leukemia; non-Hodgkin’s lymphomas; Hodgkin’s lymphoma; relapsed Hodgkin’s lymphoma; lymphomas presenting poor prognostic features; follicular lymphoma; neuroblastoma; medulloblastoma; advanced Hodgkin’s disease; primitive neuroendocrine tumor (PNET); atypical/rhabdoid tumor (ATRT); Wilms’ tumor; Ewing’s sarcoma; metastatic germ cell tumor; or multiple myeloma.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Liver transplants for persons with extrahepatic biliary atresia or any other form of end-stage liver disease, except that coverage is not provided for persons with a malignancy extending beyond the margins of the liver.</w:t>
      </w:r>
    </w:p>
    <w:p>
      <w:pPr>
        <w:spacing w:before="0" w:after="0" w:line="480"/>
        <w:ind w:left="120"/>
        <w:jc w:val="both"/>
      </w:pPr>
      <w:r>
        <w:rPr>
          <w:rFonts w:ascii="Times New Roman" w:hAnsi="Times New Roman"/>
          <w:b w:val="false"/>
          <w:i w:val="false"/>
          <w:color w:val="000000"/>
          <w:sz w:val="24"/>
        </w:rPr>
        <w:t xml:space="preserve">Liver transplants require preprocedure review by Iowa Medicaid. Covered liver transplants are payable only when performed in a facility that meets the requirements of subrule </w:t>
      </w:r>
      <w:hyperlink r:id="rId30">
        <w:r>
          <w:rPr>
            <w:rStyle w:val="Hyperlink"/>
            <w:rFonts w:ascii="Times New Roman" w:hAnsi="Times New Roman"/>
            <w:b w:val="false"/>
            <w:i w:val="false"/>
            <w:color w:val="000000"/>
            <w:sz w:val="24"/>
          </w:rPr>
          <w:t>78.3(10)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Heart transplants for persons with inoperable congenital heart defects, heart failure, or related conditions. Artificial hearts and ventricular assist devices as a temporary life-support system until a human heart becomes available for transplants are covered. Artificial hearts and ventricular assist devices as a permanent replacement for a human heart are not covered. Heart-lung transplants are covered where bilateral or unilateral lung transplantation with repair of a congenital cardiac defect is contraindicated.</w:t>
      </w:r>
    </w:p>
    <w:p>
      <w:pPr>
        <w:spacing w:before="0" w:after="0" w:line="480"/>
        <w:ind w:left="120"/>
        <w:jc w:val="both"/>
      </w:pPr>
      <w:r>
        <w:rPr>
          <w:rFonts w:ascii="Times New Roman" w:hAnsi="Times New Roman"/>
          <w:b w:val="false"/>
          <w:i w:val="false"/>
          <w:color w:val="000000"/>
          <w:sz w:val="24"/>
        </w:rPr>
        <w:t xml:space="preserve">Heart transplants, heart-lung transplants, artificial hearts, and ventricular assist devices described above require preprocedure review by Iowa Medicaid. Covered heart transplants are payable only when performed in a facility that meets the requirements of subrule </w:t>
      </w:r>
      <w:hyperlink r:id="rId31">
        <w:r>
          <w:rPr>
            <w:rStyle w:val="Hyperlink"/>
            <w:rFonts w:ascii="Times New Roman" w:hAnsi="Times New Roman"/>
            <w:b w:val="false"/>
            <w:i w:val="false"/>
            <w:color w:val="000000"/>
            <w:sz w:val="24"/>
          </w:rPr>
          <w:t>78.3(10)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Lung transplants. Lung transplants for persons having end-stage pulmonary disease. Lung transplants require preprocedure review by Iowa Medicaid. Covered transplants are payable only when performed in a facility that meets the requirements of subrule </w:t>
      </w:r>
      <w:hyperlink r:id="rId32">
        <w:r>
          <w:rPr>
            <w:rStyle w:val="Hyperlink"/>
            <w:rFonts w:ascii="Times New Roman" w:hAnsi="Times New Roman"/>
            <w:b w:val="false"/>
            <w:i w:val="false"/>
            <w:color w:val="000000"/>
            <w:sz w:val="24"/>
          </w:rPr>
          <w:t>78.3(10)</w:t>
        </w:r>
      </w:hyperlink>
      <w:r>
        <w:rPr>
          <w:rFonts w:ascii="Times New Roman" w:hAnsi="Times New Roman"/>
          <w:b w:val="false"/>
          <w:i w:val="false"/>
          <w:color w:val="000000"/>
          <w:sz w:val="24"/>
        </w:rPr>
        <w:t xml:space="preserve">. Heart-lung transplants are covered consistent with criteria in subparagraph </w:t>
      </w:r>
      <w:hyperlink r:id="rId33">
        <w:r>
          <w:rPr>
            <w:rStyle w:val="Hyperlink"/>
            <w:rFonts w:ascii="Times New Roman" w:hAnsi="Times New Roman"/>
            <w:b w:val="false"/>
            <w:i w:val="false"/>
            <w:color w:val="000000"/>
            <w:sz w:val="24"/>
          </w:rPr>
          <w:t>78.1(2)</w:t>
        </w:r>
      </w:hyperlink>
      <w:r>
        <w:rPr>
          <w:rFonts w:ascii="Times New Roman" w:hAnsi="Times New Roman"/>
          <w:b w:val="false"/>
          <w:i/>
          <w:color w:val="000000"/>
          <w:sz w:val="24"/>
        </w:rPr>
        <w:t>“a”</w:t>
      </w:r>
      <w:r>
        <w:rPr>
          <w:rFonts w:ascii="Times New Roman" w:hAnsi="Times New Roman"/>
          <w:b w:val="false"/>
          <w:i w:val="false"/>
          <w:color w:val="000000"/>
          <w:sz w:val="24"/>
        </w:rPr>
        <w:t>(5).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Pancreas transplants for persons with type I diabetes mellitus,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Simultaneous pancreas-kidney transplants and pancreas after kidney transplants are covered.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Pancreas transplants alone are covered for persons exhibiting any of the following:</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 history of frequent, acute, and severe metabolic complications (e.g., hypoglycemia, hyperglycemia, or ketoacidosis) requiring medical attention.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Clinical problems with exogenous insulin therapy that are so severe as to be incapacitating.</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Consistent failure of insulin-based management to prevent acute complications.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pancreas transplants listed under this subparagraph require preprocedure review by Iowa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Covered transplants are payable only when performed in a facility that meets the requirements of subrule </w:t>
      </w:r>
      <w:hyperlink r:id="rId34">
        <w:r>
          <w:rPr>
            <w:rStyle w:val="Hyperlink"/>
            <w:rFonts w:ascii="Times New Roman" w:hAnsi="Times New Roman"/>
            <w:b w:val="false"/>
            <w:i w:val="false"/>
            <w:color w:val="000000"/>
            <w:sz w:val="24"/>
          </w:rPr>
          <w:t>78.3(10)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Transplantation of islet cells or partial pancreatic tissue is not covered.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Donor expenses incurred directly in connection with a covered transplant are payable. Expenses incurred for complications that arise with respect to the donor are covered only if they are directly and immediately attributed to surgery. Expenses of searching for a donor are not covered.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All transplants must be medically necessary and meet other general requirements of this chapter for physician and hospital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will not be made for any transplant not specifically listed in paragraph </w:t>
      </w:r>
      <w:hyperlink r:id="rId35">
        <w:r>
          <w:rPr>
            <w:rStyle w:val="Hyperlink"/>
            <w:rFonts w:ascii="Times New Roman" w:hAnsi="Times New Roman"/>
            <w:b w:val="false"/>
            <w:i w:val="false"/>
            <w:color w:val="000000"/>
            <w:sz w:val="24"/>
          </w:rPr>
          <w:t>78.1(20)</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78.1(21)</w:t>
      </w:r>
      <w:r>
        <w:rPr>
          <w:rFonts w:ascii="Times New Roman" w:hAnsi="Times New Roman"/>
          <w:b w:val="false"/>
          <w:i w:val="false"/>
          <w:color w:val="000000"/>
          <w:sz w:val="24"/>
        </w:rPr>
        <w:t> </w:t>
      </w:r>
      <w:r>
        <w:rPr>
          <w:rFonts w:ascii="Times New Roman" w:hAnsi="Times New Roman"/>
          <w:b w:val="false"/>
          <w:i w:val="false"/>
          <w:color w:val="000000"/>
          <w:sz w:val="24"/>
        </w:rPr>
        <w:t>Utilization review. Utilization review will be conducted for Medicaid members who access more than 24 outpatient visits in any 12-month period from physicians, ARNPs, federally qualified health centers, other clinics, and emergency rooms. For the purposes of utilization review, the term “physician” does not include a psychiatrist.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78.1(22)</w:t>
      </w:r>
      <w:r>
        <w:rPr>
          <w:rFonts w:ascii="Times New Roman" w:hAnsi="Times New Roman"/>
          <w:b w:val="false"/>
          <w:i w:val="false"/>
          <w:color w:val="000000"/>
          <w:sz w:val="24"/>
        </w:rPr>
        <w:t> </w:t>
      </w:r>
      <w:r>
        <w:rPr>
          <w:rFonts w:ascii="Times New Roman" w:hAnsi="Times New Roman"/>
          <w:b w:val="false"/>
          <w:i w:val="false"/>
          <w:color w:val="000000"/>
          <w:sz w:val="24"/>
        </w:rPr>
        <w:t>Risk assessment. Risk assessment, using the Medicaid Prenatal Risk Assessment form, will be completed at the initial visit during a Medicaid member’s pregnancy.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the risk assessment reflects a low-risk pregnancy, the assessment shall be completed again at approximately the twenty-eighth week of pregnancy.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risk assessment reflects a high-risk pregnancy, referral will be made for enhanced services. Enhanced services include health education, social services, nutrition education, and a postpartum home visit. Additional reimbursement will be provided for obstetrical services related to a high-risk pregnancy. (See description of enhanced services at subrule </w:t>
      </w:r>
      <w:hyperlink r:id="rId36">
        <w:r>
          <w:rPr>
            <w:rStyle w:val="Hyperlink"/>
            <w:rFonts w:ascii="Times New Roman" w:hAnsi="Times New Roman"/>
            <w:b w:val="false"/>
            <w:i w:val="false"/>
            <w:color w:val="000000"/>
            <w:sz w:val="24"/>
          </w:rPr>
          <w:t>78.25(3)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78.1(23)</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78.1(24)</w:t>
      </w:r>
      <w:r>
        <w:rPr>
          <w:rFonts w:ascii="Times New Roman" w:hAnsi="Times New Roman"/>
          <w:b w:val="false"/>
          <w:i w:val="false"/>
          <w:color w:val="000000"/>
          <w:sz w:val="24"/>
        </w:rPr>
        <w:t> </w:t>
      </w:r>
      <w:r>
        <w:rPr>
          <w:rFonts w:ascii="Times New Roman" w:hAnsi="Times New Roman"/>
          <w:b w:val="false"/>
          <w:i w:val="false"/>
          <w:color w:val="000000"/>
          <w:sz w:val="24"/>
        </w:rPr>
        <w:t>Topical fluoride varnish. Payment will be made for application of an FDA-approved topical fluoride varnish, as defined by the Code on Dental Procedures and Nomenclature (CDT) published by the American Dental Association as amended to July 1, 2026, for the purpose of preventing the worsening of early childhood caries in children aged 0 to 36 months of age, when rendered by physicians or other appropriately licensed practitioners under the supervision of or in collaboration with a physician and who are acting within the scope of their practice, licensure, and other applicable state law, subject to the following provisions and limitations: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Application of topical fluoride varnish must be provided in conjunction with an early and periodic screening, diagnosis, and treatment (EPSDT) examination which includes a limited oral screening.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Separate payment will be available only for application of topical fluoride varnish, which will be at the same rate of reimbursement paid to dentists for providing this service. Separate payment for the limited oral screening will not be available, as this service is already part of and paid under the EPSDT screening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Parents, legal guardians, or other authorized caregivers of children receiving application of topical fluoride varnish as part of an EPSDT screening examination shall be informed by the physician or auxiliary staff employed by and under the physician’s supervision that this application is not a substitute for comprehensive dental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Physicians rendering the services under this subrule shall make every reasonable effort to refer or facilitate referral of these children for comprehensive dental care rendered by a dental professional.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78.1(25)</w:t>
      </w:r>
      <w:r>
        <w:rPr>
          <w:rFonts w:ascii="Times New Roman" w:hAnsi="Times New Roman"/>
          <w:b w:val="false"/>
          <w:i w:val="false"/>
          <w:color w:val="000000"/>
          <w:sz w:val="24"/>
        </w:rPr>
        <w:t> </w:t>
      </w:r>
      <w:r>
        <w:rPr>
          <w:rFonts w:ascii="Times New Roman" w:hAnsi="Times New Roman"/>
          <w:b w:val="false"/>
          <w:i w:val="false"/>
          <w:color w:val="000000"/>
          <w:sz w:val="24"/>
        </w:rPr>
        <w:t xml:space="preserve">Prior authorization for medication-assisted treatment will be governed pursuant to subrule </w:t>
      </w:r>
      <w:hyperlink r:id="rId37">
        <w:r>
          <w:rPr>
            <w:rStyle w:val="Hyperlink"/>
            <w:rFonts w:ascii="Times New Roman" w:hAnsi="Times New Roman"/>
            <w:b w:val="false"/>
            <w:i w:val="false"/>
            <w:color w:val="000000"/>
            <w:sz w:val="24"/>
          </w:rPr>
          <w:t>78.28(2)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441—78.2</w:t>
      </w:r>
      <w:r>
        <w:rPr>
          <w:rFonts w:ascii="Times New Roman" w:hAnsi="Times New Roman"/>
          <w:b/>
          <w:i w:val="false"/>
          <w:color w:val="000000"/>
          <w:sz w:val="24"/>
        </w:rPr>
        <w:t xml:space="preserve">(249A) </w:t>
      </w:r>
      <w:r>
        <w:rPr>
          <w:rFonts w:ascii="Times New Roman" w:hAnsi="Times New Roman"/>
          <w:b/>
          <w:i w:val="false"/>
          <w:color w:val="000000"/>
          <w:sz w:val="24"/>
        </w:rPr>
        <w:t xml:space="preserve">Prescribed outpatient drugs. </w:t>
      </w:r>
      <w:r>
        <w:rPr>
          <w:rFonts w:ascii="Times New Roman" w:hAnsi="Times New Roman"/>
          <w:b w:val="false"/>
          <w:i w:val="false"/>
          <w:color w:val="000000"/>
          <w:sz w:val="24"/>
        </w:rPr>
        <w:t xml:space="preserve">Payment will be made for “covered outpatient drugs” as defined in </w:t>
      </w:r>
      <w:r>
        <w:rPr>
          <w:rFonts w:ascii="Times New Roman" w:hAnsi="Times New Roman"/>
          <w:b w:val="false"/>
          <w:i w:val="false"/>
          <w:color w:val="000000"/>
          <w:sz w:val="24"/>
        </w:rPr>
        <w:t>42 U.S.C.</w:t>
      </w:r>
      <w:r>
        <w:rPr>
          <w:rFonts w:ascii="Times New Roman" w:hAnsi="Times New Roman"/>
          <w:b w:val="false"/>
          <w:i w:val="false"/>
          <w:color w:val="000000"/>
          <w:sz w:val="24"/>
        </w:rPr>
        <w:t xml:space="preserve"> Section 1396r-8(k)(2)-(4) as amended to July 1, 2026, subject to the conditions and limitations specified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78.2(1)</w:t>
      </w:r>
      <w:r>
        <w:rPr>
          <w:rFonts w:ascii="Times New Roman" w:hAnsi="Times New Roman"/>
          <w:b w:val="false"/>
          <w:i w:val="false"/>
          <w:color w:val="000000"/>
          <w:sz w:val="24"/>
        </w:rPr>
        <w:t> </w:t>
      </w:r>
      <w:r>
        <w:rPr>
          <w:rFonts w:ascii="Times New Roman" w:hAnsi="Times New Roman"/>
          <w:b w:val="false"/>
          <w:i/>
          <w:color w:val="000000"/>
          <w:sz w:val="24"/>
        </w:rPr>
        <w:t xml:space="preserve">Qualified prescriber. </w:t>
      </w:r>
      <w:r>
        <w:rPr>
          <w:rFonts w:ascii="Times New Roman" w:hAnsi="Times New Roman"/>
          <w:b w:val="false"/>
          <w:i w:val="false"/>
          <w:color w:val="000000"/>
          <w:sz w:val="24"/>
        </w:rPr>
        <w:t xml:space="preserve">All drugs are covered only if prescribed or ordered by an Iowa Medicaid-enrolled practitioner licensed or registered to prescribe as specified in Iowa Code section </w:t>
      </w:r>
      <w:hyperlink r:id="rId38">
        <w:r>
          <w:rPr>
            <w:rStyle w:val="Hyperlink"/>
            <w:rFonts w:ascii="Times New Roman" w:hAnsi="Times New Roman"/>
            <w:b w:val="false"/>
            <w:i w:val="false"/>
            <w:color w:val="000000"/>
            <w:sz w:val="24"/>
          </w:rPr>
          <w:t>155A.3(39)</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78.2(2)</w:t>
      </w:r>
      <w:r>
        <w:rPr>
          <w:rFonts w:ascii="Times New Roman" w:hAnsi="Times New Roman"/>
          <w:b w:val="false"/>
          <w:i w:val="false"/>
          <w:color w:val="000000"/>
          <w:sz w:val="24"/>
        </w:rPr>
        <w:t> </w:t>
      </w:r>
      <w:r>
        <w:rPr>
          <w:rFonts w:ascii="Times New Roman" w:hAnsi="Times New Roman"/>
          <w:b w:val="false"/>
          <w:i/>
          <w:color w:val="000000"/>
          <w:sz w:val="24"/>
        </w:rPr>
        <w:t xml:space="preserve">Prescription required. </w:t>
      </w:r>
      <w:r>
        <w:rPr>
          <w:rFonts w:ascii="Times New Roman" w:hAnsi="Times New Roman"/>
          <w:b w:val="false"/>
          <w:i w:val="false"/>
          <w:color w:val="000000"/>
          <w:sz w:val="24"/>
        </w:rPr>
        <w:t xml:space="preserve">As a condition of payment for all drugs, including “nonprescription” or “over-the-counter” drugs that may otherwise be dispensed without a prescription or drug order, a prescription or drug order shall be transmitted as specified in Iowa Code sections </w:t>
      </w:r>
      <w:hyperlink r:id="rId39">
        <w:r>
          <w:rPr>
            <w:rStyle w:val="Hyperlink"/>
            <w:rFonts w:ascii="Times New Roman" w:hAnsi="Times New Roman"/>
            <w:b w:val="false"/>
            <w:i w:val="false"/>
            <w:color w:val="000000"/>
            <w:sz w:val="24"/>
          </w:rPr>
          <w:t>124.308</w:t>
        </w:r>
      </w:hyperlink>
      <w:r>
        <w:rPr>
          <w:rFonts w:ascii="Times New Roman" w:hAnsi="Times New Roman"/>
          <w:b w:val="false"/>
          <w:i w:val="false"/>
          <w:color w:val="000000"/>
          <w:sz w:val="24"/>
        </w:rPr>
        <w:t xml:space="preserve">, </w:t>
      </w:r>
      <w:hyperlink r:id="rId40">
        <w:r>
          <w:rPr>
            <w:rStyle w:val="Hyperlink"/>
            <w:rFonts w:ascii="Times New Roman" w:hAnsi="Times New Roman"/>
            <w:b w:val="false"/>
            <w:i w:val="false"/>
            <w:color w:val="000000"/>
            <w:sz w:val="24"/>
          </w:rPr>
          <w:t>155A.3</w:t>
        </w:r>
      </w:hyperlink>
      <w:r>
        <w:rPr>
          <w:rFonts w:ascii="Times New Roman" w:hAnsi="Times New Roman"/>
          <w:b w:val="false"/>
          <w:i w:val="false"/>
          <w:color w:val="000000"/>
          <w:sz w:val="24"/>
        </w:rPr>
        <w:t xml:space="preserve"> and </w:t>
      </w:r>
      <w:hyperlink r:id="rId41">
        <w:r>
          <w:rPr>
            <w:rStyle w:val="Hyperlink"/>
            <w:rFonts w:ascii="Times New Roman" w:hAnsi="Times New Roman"/>
            <w:b w:val="false"/>
            <w:i w:val="false"/>
            <w:color w:val="000000"/>
            <w:sz w:val="24"/>
          </w:rPr>
          <w:t>155A.27</w:t>
        </w:r>
      </w:hyperlink>
      <w:r>
        <w:rPr>
          <w:rFonts w:ascii="Times New Roman" w:hAnsi="Times New Roman"/>
          <w:b w:val="false"/>
          <w:i w:val="false"/>
          <w:color w:val="000000"/>
          <w:sz w:val="24"/>
        </w:rPr>
        <w:t xml:space="preserve"> by the practitioner to the pharmacy. All prescriptions or drug orders shall be available for audit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78.2(3)</w:t>
      </w:r>
      <w:r>
        <w:rPr>
          <w:rFonts w:ascii="Times New Roman" w:hAnsi="Times New Roman"/>
          <w:b w:val="false"/>
          <w:i w:val="false"/>
          <w:color w:val="000000"/>
          <w:sz w:val="24"/>
        </w:rPr>
        <w:t> </w:t>
      </w:r>
      <w:r>
        <w:rPr>
          <w:rFonts w:ascii="Times New Roman" w:hAnsi="Times New Roman"/>
          <w:b w:val="false"/>
          <w:i/>
          <w:color w:val="000000"/>
          <w:sz w:val="24"/>
        </w:rPr>
        <w:t xml:space="preserve">Qualified source. </w:t>
      </w:r>
      <w:r>
        <w:rPr>
          <w:rFonts w:ascii="Times New Roman" w:hAnsi="Times New Roman"/>
          <w:b w:val="false"/>
          <w:i w:val="false"/>
          <w:color w:val="000000"/>
          <w:sz w:val="24"/>
        </w:rPr>
        <w:t>All drugs are covered only if marketed by manufacturers that have signed a Medicaid rebate agreement with the Secretary of Health and Human Services in accordance with Public Law 101-508 (Omnibus Budget Reconciliation Act of 1990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78.2(4)</w:t>
      </w:r>
      <w:r>
        <w:rPr>
          <w:rFonts w:ascii="Times New Roman" w:hAnsi="Times New Roman"/>
          <w:b w:val="false"/>
          <w:i w:val="false"/>
          <w:color w:val="000000"/>
          <w:sz w:val="24"/>
        </w:rPr>
        <w:t> </w:t>
      </w:r>
      <w:r>
        <w:rPr>
          <w:rFonts w:ascii="Times New Roman" w:hAnsi="Times New Roman"/>
          <w:b w:val="false"/>
          <w:i/>
          <w:color w:val="000000"/>
          <w:sz w:val="24"/>
        </w:rPr>
        <w:t xml:space="preserve">Prescription drugs. </w:t>
      </w:r>
      <w:r>
        <w:rPr>
          <w:rFonts w:ascii="Times New Roman" w:hAnsi="Times New Roman"/>
          <w:b w:val="false"/>
          <w:i w:val="false"/>
          <w:color w:val="000000"/>
          <w:sz w:val="24"/>
        </w:rPr>
        <w:t>Drugs that may be dispensed only upon a prescription are covered subject to the following limitations.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Prior authorization is required as specified in the preferred drug list published by the department pursuant to Iowa Code section </w:t>
      </w:r>
      <w:hyperlink r:id="rId42">
        <w:r>
          <w:rPr>
            <w:rStyle w:val="Hyperlink"/>
            <w:rFonts w:ascii="Times New Roman" w:hAnsi="Times New Roman"/>
            <w:b w:val="false"/>
            <w:i w:val="false"/>
            <w:color w:val="000000"/>
            <w:sz w:val="24"/>
          </w:rPr>
          <w:t>249A.20A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any drug requiring prior authorization, reimbursement will be made for a 72-hour or three-day supply dispensed in an emergency when a prior authorization request cannot be submitted.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Unless the manufacturer or labeler of a mental health prescription drug that has a significant variation in therapeutic or side effect profile from other drugs in the same therapeutic class enters into a contract to provide the state with a supplemental rebate, the drug may be placed on the preferred drug list as nonpreferred, with prior authorization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For mental health prescription drugs requiring prior authorization that have a significant variation in therapeutic or side effect profile from other drugs in the same therapeutic class, reimbursement will be made for up to a seven-day supply pending prior authorization. A request for prior authorization shall be deemed approved if the prescriber: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Has on file with the department current contact information, including a current fax number, and a signed department Fax Confidentiality Certificate,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Does not receive a notice of approval or disapproval within 48 hours of a request for prior authorization.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Prior authorization for medication-assisted treatment will be governed pursuant to subrule </w:t>
      </w:r>
      <w:hyperlink r:id="rId43">
        <w:r>
          <w:rPr>
            <w:rStyle w:val="Hyperlink"/>
            <w:rFonts w:ascii="Times New Roman" w:hAnsi="Times New Roman"/>
            <w:b w:val="false"/>
            <w:i w:val="false"/>
            <w:color w:val="000000"/>
            <w:sz w:val="24"/>
          </w:rPr>
          <w:t>78.28(2)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Payment is not made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Drugs whose prescribed use is not for a medically accepted indication as defined by </w:t>
      </w:r>
      <w:r>
        <w:rPr>
          <w:rFonts w:ascii="Times New Roman" w:hAnsi="Times New Roman"/>
          <w:b w:val="false"/>
          <w:i w:val="false"/>
          <w:color w:val="000000"/>
          <w:sz w:val="24"/>
        </w:rPr>
        <w:t>Section 1927(k)(6) of the Social Security Act</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Drugs used for anorexia, weight gain, or weight loss.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Drugs used for cosmetic purposes or hair growth.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Otherwise covered outpatient drugs if the manufacturer seeks to require as a condition of sale that associated tests or monitoring services be purchased exclusively from the manufacturer or the manufacturer’s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Drugs described in Section 107(c)(3) of the Drug Amendments of 1962 as amended to July 1, 2026, and identical, similar, or related drugs (within the meaning of Section 310.6(b)(1) of Title 21 of the Code of Federal Regulations as amended to July 1, 2026 (drugs identified through the Drug Efficacy Study Implementation (DESI)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“Covered Part D drugs” as defined by </w:t>
      </w:r>
      <w:r>
        <w:rPr>
          <w:rFonts w:ascii="Times New Roman" w:hAnsi="Times New Roman"/>
          <w:b w:val="false"/>
          <w:i w:val="false"/>
          <w:color w:val="000000"/>
          <w:sz w:val="24"/>
        </w:rPr>
        <w:t>42 U.S.C.</w:t>
      </w:r>
      <w:r>
        <w:rPr>
          <w:rFonts w:ascii="Times New Roman" w:hAnsi="Times New Roman"/>
          <w:b w:val="false"/>
          <w:i w:val="false"/>
          <w:color w:val="000000"/>
          <w:sz w:val="24"/>
        </w:rPr>
        <w:t xml:space="preserve"> Section 1395w-102(e)(1)-(2) as amended to July 1, 2026, for any “Part D eligible individual” as defined by </w:t>
      </w:r>
      <w:r>
        <w:rPr>
          <w:rFonts w:ascii="Times New Roman" w:hAnsi="Times New Roman"/>
          <w:b w:val="false"/>
          <w:i w:val="false"/>
          <w:color w:val="000000"/>
          <w:sz w:val="24"/>
        </w:rPr>
        <w:t>42 U.S.C.</w:t>
      </w:r>
      <w:r>
        <w:rPr>
          <w:rFonts w:ascii="Times New Roman" w:hAnsi="Times New Roman"/>
          <w:b w:val="false"/>
          <w:i w:val="false"/>
          <w:color w:val="000000"/>
          <w:sz w:val="24"/>
        </w:rPr>
        <w:t xml:space="preserve"> Section 1395w-101(a)(3)(A) as amended to July 1, 2026, including a member who is not enrolled in a Medicare Part D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Drugs prescribed for fertility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Drugs used for the treatment of sexual or erectile dysfunction, except when used to treat a condition other than sexual or erectile dysfunction for which the drug has been approved by the U.S. Food and Drug Administration (FDA).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 xml:space="preserve">Prescription drugs for which the prescription was executed in written (and nonelectronic) form unless the prescription was executed on a tamper-resistant pad, as required by </w:t>
      </w:r>
      <w:r>
        <w:rPr>
          <w:rFonts w:ascii="Times New Roman" w:hAnsi="Times New Roman"/>
          <w:b w:val="false"/>
          <w:i w:val="false"/>
          <w:color w:val="000000"/>
          <w:sz w:val="24"/>
        </w:rPr>
        <w:t>Section 1903(i)(23) of the Social Security Act</w:t>
      </w:r>
      <w:r>
        <w:rPr>
          <w:rFonts w:ascii="Times New Roman" w:hAnsi="Times New Roman"/>
          <w:b w:val="false"/>
          <w:i w:val="false"/>
          <w:color w:val="000000"/>
          <w:sz w:val="24"/>
        </w:rPr>
        <w:t xml:space="preserve"> (</w:t>
      </w:r>
      <w:r>
        <w:rPr>
          <w:rFonts w:ascii="Times New Roman" w:hAnsi="Times New Roman"/>
          <w:b w:val="false"/>
          <w:i w:val="false"/>
          <w:color w:val="000000"/>
          <w:sz w:val="24"/>
        </w:rPr>
        <w:t>42 U.S.C.</w:t>
      </w:r>
      <w:r>
        <w:rPr>
          <w:rFonts w:ascii="Times New Roman" w:hAnsi="Times New Roman"/>
          <w:b w:val="false"/>
          <w:i w:val="false"/>
          <w:color w:val="000000"/>
          <w:sz w:val="24"/>
        </w:rPr>
        <w:t xml:space="preserve"> Section 1396b(i)(23)).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 xml:space="preserve">Drugs used for symptomatic relief of cough and colds, except for nonprescription drugs listed at subrule </w:t>
      </w:r>
      <w:hyperlink r:id="rId44">
        <w:r>
          <w:rPr>
            <w:rStyle w:val="Hyperlink"/>
            <w:rFonts w:ascii="Times New Roman" w:hAnsi="Times New Roman"/>
            <w:b w:val="false"/>
            <w:i w:val="false"/>
            <w:color w:val="000000"/>
            <w:sz w:val="24"/>
          </w:rPr>
          <w:t>78.2(5)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 xml:space="preserve">Investigational drugs, including drugs that are the subject of an investigational new drug (IND) application allowed to proceed by the FDA but that do not meet the definition of a covered outpatient drug in </w:t>
      </w:r>
      <w:r>
        <w:rPr>
          <w:rFonts w:ascii="Times New Roman" w:hAnsi="Times New Roman"/>
          <w:b w:val="false"/>
          <w:i w:val="false"/>
          <w:color w:val="000000"/>
          <w:sz w:val="24"/>
        </w:rPr>
        <w:t>42 U.S.C. 1396r</w:t>
      </w:r>
      <w:r>
        <w:rPr>
          <w:rFonts w:ascii="Times New Roman" w:hAnsi="Times New Roman"/>
          <w:b w:val="false"/>
          <w:i w:val="false"/>
          <w:color w:val="000000"/>
          <w:sz w:val="24"/>
        </w:rPr>
        <w:t>-8(k)(2)-(4)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78.2(5)</w:t>
      </w:r>
      <w:r>
        <w:rPr>
          <w:rFonts w:ascii="Times New Roman" w:hAnsi="Times New Roman"/>
          <w:b w:val="false"/>
          <w:i w:val="false"/>
          <w:color w:val="000000"/>
          <w:sz w:val="24"/>
        </w:rPr>
        <w:t> </w:t>
      </w:r>
      <w:r>
        <w:rPr>
          <w:rFonts w:ascii="Times New Roman" w:hAnsi="Times New Roman"/>
          <w:b w:val="false"/>
          <w:i/>
          <w:color w:val="000000"/>
          <w:sz w:val="24"/>
        </w:rPr>
        <w:t xml:space="preserve">Nonprescription drugs.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Nonprescription or over-the-counter (OTC) refers to a drug that may be lawfully sold without a prescription; however, Iowa Medicaid requires a prescription for covered OTC drugs. These drugs are subject to prior authorization requirements as specified in the preferred drug list (PDL) published by the department pursuant to Iowa Code section </w:t>
      </w:r>
      <w:hyperlink r:id="rId45">
        <w:r>
          <w:rPr>
            <w:rStyle w:val="Hyperlink"/>
            <w:rFonts w:ascii="Times New Roman" w:hAnsi="Times New Roman"/>
            <w:b w:val="false"/>
            <w:i w:val="false"/>
            <w:color w:val="000000"/>
            <w:sz w:val="24"/>
          </w:rPr>
          <w:t>249A.20A</w:t>
        </w:r>
      </w:hyperlink>
      <w:r>
        <w:rPr>
          <w:rFonts w:ascii="Times New Roman" w:hAnsi="Times New Roman"/>
          <w:b w:val="false"/>
          <w:i w:val="false"/>
          <w:color w:val="000000"/>
          <w:sz w:val="24"/>
        </w:rPr>
        <w:t>. The drugs are identified on the nonprescription (OTC) prescribed list by therapeutic category located on the PDL website (www.iowamedicaidpdl.com) under the PDL/PA tab.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Nonprescription drugs for use in a nursing facility, psychiatric medical institution for children (PMIC), or intermediate care facility for persons with an intellectual disability (ICF/ID) will be included in the per diem rate paid to the nursing facility, PMIC, or ICF/ID, with the exception of OTC insulin and pseudoephedrine.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78.2(6)</w:t>
      </w:r>
      <w:r>
        <w:rPr>
          <w:rFonts w:ascii="Times New Roman" w:hAnsi="Times New Roman"/>
          <w:b w:val="false"/>
          <w:i w:val="false"/>
          <w:color w:val="000000"/>
          <w:sz w:val="24"/>
        </w:rPr>
        <w:t> </w:t>
      </w:r>
      <w:r>
        <w:rPr>
          <w:rFonts w:ascii="Times New Roman" w:hAnsi="Times New Roman"/>
          <w:b w:val="false"/>
          <w:i/>
          <w:color w:val="000000"/>
          <w:sz w:val="24"/>
        </w:rPr>
        <w:t xml:space="preserve">Quantity prescribed.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Quantity prescribed. </w:t>
      </w:r>
      <w:r>
        <w:rPr>
          <w:rFonts w:ascii="Times New Roman" w:hAnsi="Times New Roman"/>
          <w:b w:val="false"/>
          <w:i w:val="false"/>
          <w:color w:val="000000"/>
          <w:sz w:val="24"/>
        </w:rPr>
        <w:t>When it is not therapeutically contraindicated, the legally qualified practitioner shall prescribe not less than a one-month supply of covered prescription and nonprescription medication. Contraceptives may be prescribed in three-month quantities.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 b.</w:t>
      </w:r>
      <w:r>
        <w:rPr>
          <w:rFonts w:ascii="Times New Roman" w:hAnsi="Times New Roman"/>
          <w:b w:val="false"/>
          <w:i w:val="false"/>
          <w:color w:val="000000"/>
          <w:sz w:val="24"/>
        </w:rPr>
        <w:t>  </w:t>
      </w:r>
      <w:r>
        <w:rPr>
          <w:rFonts w:ascii="Times New Roman" w:hAnsi="Times New Roman"/>
          <w:b w:val="false"/>
          <w:i/>
          <w:color w:val="000000"/>
          <w:sz w:val="24"/>
        </w:rPr>
        <w:t xml:space="preserve">Prescription refills.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Prescription refills shall be performed and recorded in a manner consistent with existent state and federal laws, rules and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Automatic refills.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Automatic refills are allowed. Participation in an automatic refill program is voluntary and opt-in only, on a drug-by-drug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program must have: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Easy-to-locate contact information through telephone, the program’s website, or both;</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Easy-to-understand patient materials on how to select or unselect drug(s) for inclusion and how to disenroll;</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 xml:space="preserve">Confirmation that the member wants to continue in the automatic refill program at least annually;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Confirmation of continued medical necessity provided by the Medicaid member or person acting as an authorized representative of the member, before the member receives the medication at the pharmacy or before the medication is mailed or delivered to the member, without which confirmation the drug(s) must be credited back to the Medicaid program; and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Records of all consents, which must be in electronic or written format and must be available for review by auditors.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78.2(7)</w:t>
      </w:r>
      <w:r>
        <w:rPr>
          <w:rFonts w:ascii="Times New Roman" w:hAnsi="Times New Roman"/>
          <w:b w:val="false"/>
          <w:i w:val="false"/>
          <w:color w:val="000000"/>
          <w:sz w:val="24"/>
        </w:rPr>
        <w:t> </w:t>
      </w:r>
      <w:r>
        <w:rPr>
          <w:rFonts w:ascii="Times New Roman" w:hAnsi="Times New Roman"/>
          <w:b w:val="false"/>
          <w:i/>
          <w:color w:val="000000"/>
          <w:sz w:val="24"/>
        </w:rPr>
        <w:t xml:space="preserve">Lowest cost item. </w:t>
      </w:r>
      <w:r>
        <w:rPr>
          <w:rFonts w:ascii="Times New Roman" w:hAnsi="Times New Roman"/>
          <w:b w:val="false"/>
          <w:i w:val="false"/>
          <w:color w:val="000000"/>
          <w:sz w:val="24"/>
        </w:rPr>
        <w:t>The pharmacist shall dispense the lowest cost item in stock that meets the requirements of the practitioner as shown on the prescription.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78.2(8)</w:t>
      </w:r>
      <w:r>
        <w:rPr>
          <w:rFonts w:ascii="Times New Roman" w:hAnsi="Times New Roman"/>
          <w:b w:val="false"/>
          <w:i w:val="false"/>
          <w:color w:val="000000"/>
          <w:sz w:val="24"/>
        </w:rPr>
        <w:t> </w:t>
      </w:r>
      <w:r>
        <w:rPr>
          <w:rFonts w:ascii="Times New Roman" w:hAnsi="Times New Roman"/>
          <w:b w:val="false"/>
          <w:i/>
          <w:color w:val="000000"/>
          <w:sz w:val="24"/>
        </w:rPr>
        <w:t xml:space="preserve">Consultation. </w:t>
      </w:r>
      <w:r>
        <w:rPr>
          <w:rFonts w:ascii="Times New Roman" w:hAnsi="Times New Roman"/>
          <w:b w:val="false"/>
          <w:i w:val="false"/>
          <w:color w:val="000000"/>
          <w:sz w:val="24"/>
        </w:rPr>
        <w:t>In accordance with Public Law 101-508 (Omnibus Budget Reconciliation Act of 1990) as amended to July 1, 2026, a pharmacist shall offer to discuss information regarding the use of the medication with each Medicaid member or the caregiver of a member presenting a prescription. The consultation is not required if the person refuses the consultation. Standards for the content of the consultation can be found in rules of the Iowa board of pharmacy.</w:t>
      </w:r>
    </w:p>
    <w:p>
      <w:pPr>
        <w:spacing w:before="0" w:after="0" w:line="480"/>
        <w:ind w:left="120"/>
        <w:jc w:val="both"/>
      </w:pPr>
      <w:r>
        <w:rPr>
          <w:rFonts w:ascii="Times New Roman" w:hAnsi="Times New Roman"/>
          <w:b/>
          <w:i w:val="false"/>
          <w:color w:val="000000"/>
          <w:sz w:val="24"/>
        </w:rPr>
        <w:t>441—78.3</w:t>
      </w:r>
      <w:r>
        <w:rPr>
          <w:rFonts w:ascii="Times New Roman" w:hAnsi="Times New Roman"/>
          <w:b/>
          <w:i w:val="false"/>
          <w:color w:val="000000"/>
          <w:sz w:val="24"/>
        </w:rPr>
        <w:t xml:space="preserve">(249A) </w:t>
      </w:r>
      <w:r>
        <w:rPr>
          <w:rFonts w:ascii="Times New Roman" w:hAnsi="Times New Roman"/>
          <w:b/>
          <w:i w:val="false"/>
          <w:color w:val="000000"/>
          <w:sz w:val="24"/>
        </w:rPr>
        <w:t xml:space="preserve">Inpatient hospital services. </w:t>
      </w:r>
      <w:r>
        <w:rPr>
          <w:rFonts w:ascii="Times New Roman" w:hAnsi="Times New Roman"/>
          <w:b w:val="false"/>
          <w:i w:val="false"/>
          <w:color w:val="000000"/>
          <w:sz w:val="24"/>
        </w:rPr>
        <w:t>Payment for inpatient hospital admission is approved when it meets the criteria for inpatient hospital care as determined by Iowa Medicaid. All cases are subject to random retrospective review and may be subject to a more intensive retrospective review if abuse is suspected. In addition, transfers, outliers, and readmissions within 31 days are subject to random review. Selected admissions and procedures are subject to a 100 percent review before the services are rendered. Medicaid payment for inpatient hospital admissions and continued stays are approved when the admissions and continued stays are determined to meet the criteria for inpatient hospital care. The criteria are available from Iowa Medicaid or in local hospital utilization review offices. No payment will be made for waiver days.</w:t>
      </w:r>
    </w:p>
    <w:p>
      <w:pPr>
        <w:spacing w:before="0" w:after="0" w:line="480"/>
        <w:ind w:left="120"/>
        <w:jc w:val="both"/>
      </w:pPr>
      <w:r>
        <w:rPr>
          <w:rFonts w:ascii="Times New Roman" w:hAnsi="Times New Roman"/>
          <w:b w:val="false"/>
          <w:i w:val="false"/>
          <w:color w:val="000000"/>
          <w:sz w:val="24"/>
        </w:rPr>
        <w:t xml:space="preserve">See rule </w:t>
      </w:r>
      <w:hyperlink r:id="rId46">
        <w:r>
          <w:rPr>
            <w:rStyle w:val="Hyperlink"/>
            <w:rFonts w:ascii="Times New Roman" w:hAnsi="Times New Roman"/>
            <w:b w:val="false"/>
            <w:i w:val="false"/>
            <w:color w:val="000000"/>
            <w:sz w:val="24"/>
          </w:rPr>
          <w:t>441—78.31</w:t>
        </w:r>
      </w:hyperlink>
      <w:r>
        <w:rPr>
          <w:rFonts w:ascii="Times New Roman" w:hAnsi="Times New Roman"/>
          <w:b w:val="false"/>
          <w:i w:val="false"/>
          <w:color w:val="000000"/>
          <w:sz w:val="24"/>
        </w:rPr>
        <w:t>(249A) for policies regarding payment of hospital outpatient services.</w:t>
      </w:r>
    </w:p>
    <w:p>
      <w:pPr>
        <w:spacing w:before="0" w:after="0" w:line="480"/>
        <w:ind w:left="120"/>
        <w:jc w:val="both"/>
      </w:pPr>
      <w:r>
        <w:rPr>
          <w:rFonts w:ascii="Times New Roman" w:hAnsi="Times New Roman"/>
          <w:b w:val="false"/>
          <w:i w:val="false"/>
          <w:color w:val="000000"/>
          <w:sz w:val="24"/>
        </w:rPr>
        <w:t xml:space="preserve">If the recipient is eligible for inpatient or outpatient hospital care through the Medicare program, payment will be made for deductibles and coinsurance as set out in </w:t>
      </w:r>
      <w:hyperlink r:id="rId47">
        <w:r>
          <w:rPr>
            <w:rStyle w:val="Hyperlink"/>
            <w:rFonts w:ascii="Times New Roman" w:hAnsi="Times New Roman"/>
            <w:b w:val="false"/>
            <w:i w:val="false"/>
            <w:color w:val="000000"/>
            <w:sz w:val="24"/>
          </w:rPr>
          <w:t>441—subrule 79.1(22)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The DRG payment calculations include any special services required by the hospital, including a private room.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78.3(1)</w:t>
      </w:r>
      <w:r>
        <w:rPr>
          <w:rFonts w:ascii="Times New Roman" w:hAnsi="Times New Roman"/>
          <w:b w:val="false"/>
          <w:i w:val="false"/>
          <w:color w:val="000000"/>
          <w:sz w:val="24"/>
        </w:rPr>
        <w:t> </w:t>
      </w:r>
      <w:r>
        <w:rPr>
          <w:rFonts w:ascii="Times New Roman" w:hAnsi="Times New Roman"/>
          <w:b w:val="false"/>
          <w:i w:val="false"/>
          <w:color w:val="000000"/>
          <w:sz w:val="24"/>
        </w:rPr>
        <w:t>Payment for Medicaid-certified physical rehabilitation units will be approved for the day of admission but not the day of discharge or death.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78.3(2)</w:t>
      </w:r>
      <w:r>
        <w:rPr>
          <w:rFonts w:ascii="Times New Roman" w:hAnsi="Times New Roman"/>
          <w:b w:val="false"/>
          <w:i w:val="false"/>
          <w:color w:val="000000"/>
          <w:sz w:val="24"/>
        </w:rPr>
        <w:t> </w:t>
      </w:r>
      <w:r>
        <w:rPr>
          <w:rFonts w:ascii="Times New Roman" w:hAnsi="Times New Roman"/>
          <w:b w:val="false"/>
          <w:i w:val="false"/>
          <w:color w:val="000000"/>
          <w:sz w:val="24"/>
        </w:rPr>
        <w:t>No payment will be approved for private duty nursing.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78.3(3)</w:t>
      </w:r>
      <w:r>
        <w:rPr>
          <w:rFonts w:ascii="Times New Roman" w:hAnsi="Times New Roman"/>
          <w:b w:val="false"/>
          <w:i w:val="false"/>
          <w:color w:val="000000"/>
          <w:sz w:val="24"/>
        </w:rPr>
        <w:t> </w:t>
      </w:r>
      <w:r>
        <w:rPr>
          <w:rFonts w:ascii="Times New Roman" w:hAnsi="Times New Roman"/>
          <w:b w:val="false"/>
          <w:i w:val="false"/>
          <w:color w:val="000000"/>
          <w:sz w:val="24"/>
        </w:rPr>
        <w:t>Certification of inpatient hospital care shall be the same as that in effect in part A of Medicare. The hospital admittance records are sufficient for the original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78.3(4)</w:t>
      </w:r>
      <w:r>
        <w:rPr>
          <w:rFonts w:ascii="Times New Roman" w:hAnsi="Times New Roman"/>
          <w:b w:val="false"/>
          <w:i w:val="false"/>
          <w:color w:val="000000"/>
          <w:sz w:val="24"/>
        </w:rPr>
        <w:t> </w:t>
      </w:r>
      <w:r>
        <w:rPr>
          <w:rFonts w:ascii="Times New Roman" w:hAnsi="Times New Roman"/>
          <w:b w:val="false"/>
          <w:i w:val="false"/>
          <w:color w:val="000000"/>
          <w:sz w:val="24"/>
        </w:rPr>
        <w:t>Services provided for intestinal or gastric bypass surgery for treatment of obesity require prior approval, which must be obtained by the attending physician before surgery is performed.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78.3(5)</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will be approved for drugs provided to inpatients subject to the same provisions specified in subrule </w:t>
      </w:r>
      <w:hyperlink r:id="rId48">
        <w:r>
          <w:rPr>
            <w:rStyle w:val="Hyperlink"/>
            <w:rFonts w:ascii="Times New Roman" w:hAnsi="Times New Roman"/>
            <w:b w:val="false"/>
            <w:i w:val="false"/>
            <w:color w:val="000000"/>
            <w:sz w:val="24"/>
          </w:rPr>
          <w:t>78.2(1)</w:t>
        </w:r>
      </w:hyperlink>
      <w:r>
        <w:rPr>
          <w:rFonts w:ascii="Times New Roman" w:hAnsi="Times New Roman"/>
          <w:b w:val="false"/>
          <w:i w:val="false"/>
          <w:color w:val="000000"/>
          <w:sz w:val="24"/>
        </w:rPr>
        <w:t xml:space="preserve"> and subparagraphs </w:t>
      </w:r>
      <w:hyperlink r:id="rId49">
        <w:r>
          <w:rPr>
            <w:rStyle w:val="Hyperlink"/>
            <w:rFonts w:ascii="Times New Roman" w:hAnsi="Times New Roman"/>
            <w:b w:val="false"/>
            <w:i w:val="false"/>
            <w:color w:val="000000"/>
            <w:sz w:val="24"/>
          </w:rPr>
          <w:t>78.2(4)</w:t>
        </w:r>
        <w:r>
          <w:rPr>
            <w:rFonts w:ascii="Times New Roman" w:hAnsi="Times New Roman"/>
            <w:b w:val="false"/>
            <w:i/>
            <w:color w:val="000000"/>
            <w:sz w:val="24"/>
          </w:rPr>
          <w:t>“b”</w:t>
        </w:r>
        <w:r>
          <w:rPr>
            <w:rFonts w:ascii="Times New Roman" w:hAnsi="Times New Roman"/>
            <w:b w:val="false"/>
            <w:i w:val="false"/>
            <w:color w:val="000000"/>
            <w:sz w:val="24"/>
          </w:rPr>
          <w:t>(1)</w:t>
        </w:r>
      </w:hyperlink>
      <w:r>
        <w:rPr>
          <w:rFonts w:ascii="Times New Roman" w:hAnsi="Times New Roman"/>
          <w:b w:val="false"/>
          <w:i w:val="false"/>
          <w:color w:val="000000"/>
          <w:sz w:val="24"/>
        </w:rPr>
        <w:t xml:space="preserve"> through </w:t>
      </w:r>
      <w:r>
        <w:rPr>
          <w:rFonts w:ascii="Times New Roman" w:hAnsi="Times New Roman"/>
          <w:b w:val="false"/>
          <w:i/>
          <w:color w:val="000000"/>
          <w:sz w:val="24"/>
        </w:rPr>
        <w:t>“b”</w:t>
      </w:r>
      <w:r>
        <w:rPr>
          <w:rFonts w:ascii="Times New Roman" w:hAnsi="Times New Roman"/>
          <w:b w:val="false"/>
          <w:i w:val="false"/>
          <w:color w:val="000000"/>
          <w:sz w:val="24"/>
        </w:rPr>
        <w:t xml:space="preserve">(10), except for </w:t>
      </w:r>
      <w:r>
        <w:rPr>
          <w:rFonts w:ascii="Times New Roman" w:hAnsi="Times New Roman"/>
          <w:b w:val="false"/>
          <w:i/>
          <w:color w:val="000000"/>
          <w:sz w:val="24"/>
        </w:rPr>
        <w:t>“b”</w:t>
      </w:r>
      <w:r>
        <w:rPr>
          <w:rFonts w:ascii="Times New Roman" w:hAnsi="Times New Roman"/>
          <w:b w:val="false"/>
          <w:i w:val="false"/>
          <w:color w:val="000000"/>
          <w:sz w:val="24"/>
        </w:rPr>
        <w:t>(7). The basis of payment for drugs administered to inpatients is through the DRG reimbursement.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will be approved for drugs and supplies provided to outpatients subject to the same provisions specified in subrules </w:t>
      </w:r>
      <w:hyperlink r:id="rId50">
        <w:r>
          <w:rPr>
            <w:rStyle w:val="Hyperlink"/>
            <w:rFonts w:ascii="Times New Roman" w:hAnsi="Times New Roman"/>
            <w:b w:val="false"/>
            <w:i w:val="false"/>
            <w:color w:val="000000"/>
            <w:sz w:val="24"/>
          </w:rPr>
          <w:t>78.2(1)</w:t>
        </w:r>
      </w:hyperlink>
      <w:r>
        <w:rPr>
          <w:rFonts w:ascii="Times New Roman" w:hAnsi="Times New Roman"/>
          <w:b w:val="false"/>
          <w:i w:val="false"/>
          <w:color w:val="000000"/>
          <w:sz w:val="24"/>
        </w:rPr>
        <w:t xml:space="preserve"> through </w:t>
      </w:r>
      <w:hyperlink r:id="rId51">
        <w:r>
          <w:rPr>
            <w:rStyle w:val="Hyperlink"/>
            <w:rFonts w:ascii="Times New Roman" w:hAnsi="Times New Roman"/>
            <w:b w:val="false"/>
            <w:i w:val="false"/>
            <w:color w:val="000000"/>
            <w:sz w:val="24"/>
          </w:rPr>
          <w:t>78.2(4)</w:t>
        </w:r>
      </w:hyperlink>
      <w:r>
        <w:rPr>
          <w:rFonts w:ascii="Times New Roman" w:hAnsi="Times New Roman"/>
          <w:b w:val="false"/>
          <w:i w:val="false"/>
          <w:color w:val="000000"/>
          <w:sz w:val="24"/>
        </w:rPr>
        <w:t xml:space="preserve">, except for subparagraph </w:t>
      </w:r>
      <w:hyperlink r:id="rId52">
        <w:r>
          <w:rPr>
            <w:rStyle w:val="Hyperlink"/>
            <w:rFonts w:ascii="Times New Roman" w:hAnsi="Times New Roman"/>
            <w:b w:val="false"/>
            <w:i w:val="false"/>
            <w:color w:val="000000"/>
            <w:sz w:val="24"/>
          </w:rPr>
          <w:t>78.2(4)</w:t>
        </w:r>
        <w:r>
          <w:rPr>
            <w:rFonts w:ascii="Times New Roman" w:hAnsi="Times New Roman"/>
            <w:b w:val="false"/>
            <w:i/>
            <w:color w:val="000000"/>
            <w:sz w:val="24"/>
          </w:rPr>
          <w:t>“b”</w:t>
        </w:r>
        <w:r>
          <w:rPr>
            <w:rFonts w:ascii="Times New Roman" w:hAnsi="Times New Roman"/>
            <w:b w:val="false"/>
            <w:i w:val="false"/>
            <w:color w:val="000000"/>
            <w:sz w:val="24"/>
          </w:rPr>
          <w:t>(7)</w:t>
        </w:r>
      </w:hyperlink>
      <w:r>
        <w:rPr>
          <w:rFonts w:ascii="Times New Roman" w:hAnsi="Times New Roman"/>
          <w:b w:val="false"/>
          <w:i w:val="false"/>
          <w:color w:val="000000"/>
          <w:sz w:val="24"/>
        </w:rPr>
        <w:t xml:space="preserve">. The basis of payment for drugs provided to outpatients is through a combination of Medicaid-determined fee schedules and ambulatory payment classification, pursuant to </w:t>
      </w:r>
      <w:hyperlink r:id="rId53">
        <w:r>
          <w:rPr>
            <w:rStyle w:val="Hyperlink"/>
            <w:rFonts w:ascii="Times New Roman" w:hAnsi="Times New Roman"/>
            <w:b w:val="false"/>
            <w:i w:val="false"/>
            <w:color w:val="000000"/>
            <w:sz w:val="24"/>
          </w:rPr>
          <w:t>441—subrule 79.1(16)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order to be paid for the administration of a vaccine covered under the VFC program, a hospital must enroll in the VFC program. Payment for the vaccine will be approved only if the VFC program stock has been depleted.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78.3(6)</w:t>
      </w:r>
      <w:r>
        <w:rPr>
          <w:rFonts w:ascii="Times New Roman" w:hAnsi="Times New Roman"/>
          <w:b w:val="false"/>
          <w:i w:val="false"/>
          <w:color w:val="000000"/>
          <w:sz w:val="24"/>
        </w:rPr>
        <w:t> </w:t>
      </w:r>
      <w:r>
        <w:rPr>
          <w:rFonts w:ascii="Times New Roman" w:hAnsi="Times New Roman"/>
          <w:b w:val="false"/>
          <w:i w:val="false"/>
          <w:color w:val="000000"/>
          <w:sz w:val="24"/>
        </w:rPr>
        <w:t>Payment for nursing care provided by a hospital will be made to those hospitals certified by the department of inspections, appeals, and licensing as meeting the standards for a nursing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78.3(7)</w:t>
      </w:r>
      <w:r>
        <w:rPr>
          <w:rFonts w:ascii="Times New Roman" w:hAnsi="Times New Roman"/>
          <w:b w:val="false"/>
          <w:i w:val="false"/>
          <w:color w:val="000000"/>
          <w:sz w:val="24"/>
        </w:rPr>
        <w:t> </w:t>
      </w:r>
      <w:r>
        <w:rPr>
          <w:rFonts w:ascii="Times New Roman" w:hAnsi="Times New Roman"/>
          <w:b w:val="false"/>
          <w:i w:val="false"/>
          <w:color w:val="000000"/>
          <w:sz w:val="24"/>
        </w:rPr>
        <w:t>Payment for inpatient hospital tests for purposes of diagnosis and treatment will be made only when the tests are specifically ordered for the diagnosis and treatment of a particular patient’s condition by the attending physician or other licensed practitioner acting within the scope of practice as defined by law, who is responsible for that patient’s diagnosis or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78.3(8)</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will be made for medically necessary inpatient acute psychiatric intensive care services that meet the criteria in this subrule, pursuant to </w:t>
      </w:r>
      <w:hyperlink r:id="rId54">
        <w:r>
          <w:rPr>
            <w:rStyle w:val="Hyperlink"/>
            <w:rFonts w:ascii="Times New Roman" w:hAnsi="Times New Roman"/>
            <w:b w:val="false"/>
            <w:i w:val="false"/>
            <w:color w:val="000000"/>
            <w:sz w:val="24"/>
          </w:rPr>
          <w:t>441—paragraph 79.1(5)</w:t>
        </w:r>
      </w:hyperlink>
      <w:r>
        <w:rPr>
          <w:rFonts w:ascii="Times New Roman" w:hAnsi="Times New Roman"/>
          <w:b w:val="false"/>
          <w:i/>
          <w:color w:val="000000"/>
          <w:sz w:val="24"/>
        </w:rPr>
        <w:t>“i.”</w:t>
      </w:r>
      <w:r>
        <w:rPr>
          <w:rFonts w:ascii="Times New Roman" w:hAnsi="Times New Roman"/>
          <w:b w:val="false"/>
          <w:i w:val="false"/>
          <w:color w:val="000000"/>
          <w:sz w:val="24"/>
        </w:rPr>
        <w:t xml:space="preserve"> This inpatient rate is only applicable to individuals 18 to 64 years of age. All inpatient acute psychiatric intensive care services require prior authorization.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“Acute psychiatric intensive care” is defined as care provided for a condition with rapid onset that is accompanied by severe symptoms and is generally of brief duration, requiring emergency treatment and critical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To meet the need for acute psychiatric intensive care, the patient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Have a serious and persistent mental illness as defined in </w:t>
      </w:r>
      <w:hyperlink r:id="rId55">
        <w:r>
          <w:rPr>
            <w:rStyle w:val="Hyperlink"/>
            <w:rFonts w:ascii="Times New Roman" w:hAnsi="Times New Roman"/>
            <w:b w:val="false"/>
            <w:i w:val="false"/>
            <w:color w:val="000000"/>
            <w:sz w:val="24"/>
          </w:rPr>
          <w:t>441—subrule 77.25(1)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Have a current, severe, imminent risk of serious harm to self or others;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Display additional complexity of need related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Complex comorbidities, including intellectual or developmental disability, autism spectrum disorder, substance use disorders, or traumatic brain injuries;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history of violence or current aggression that is secondary to mental illness;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request for patient transfer that has been rejected by inpatient level of care by one or more hospitals due to severity of symptoms;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Lack of responsiveness to typical interventions or a condition that is treatment refractory;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Disorganized psychotic state or manic thought process that impairs the ability to function or risks the safety of the patient or others;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Behavior that causes disruption to the general milieu of the unit (i.e., instigating other patients in negative ways);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High elopement risk;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Any other atypical reason that the treating mental health provider feels that additional resources are needed to keep the patient and others around the patient safe.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individual must have a documented need for acute intensive care requiring increased or specialized staffing, equipment, or facilities, based on two or more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Fall precaution protocol in place;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Restraints or seclusion room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Requiring assistance with activities of daily living;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Requirements for complex nursing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Acutely impaired cognitive functioning from baseline;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Documentation of interventions to address acute complex mental illness and comorbidities;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Safety protocols in place to address the physical risk posed to staff, other patients, and infrastructure;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Elopement risk precaution protocol in place.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78.3(9)</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will be made for sterilizations in accordance with </w:t>
      </w:r>
      <w:hyperlink r:id="rId56">
        <w:r>
          <w:rPr>
            <w:rStyle w:val="Hyperlink"/>
            <w:rFonts w:ascii="Times New Roman" w:hAnsi="Times New Roman"/>
            <w:b w:val="false"/>
            <w:i w:val="false"/>
            <w:color w:val="000000"/>
            <w:sz w:val="24"/>
          </w:rPr>
          <w:t>78.1(16)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78.3(10)</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will be approved for organ and tissue transplant services, as specified in subrule </w:t>
      </w:r>
      <w:hyperlink r:id="rId57">
        <w:r>
          <w:rPr>
            <w:rStyle w:val="Hyperlink"/>
            <w:rFonts w:ascii="Times New Roman" w:hAnsi="Times New Roman"/>
            <w:b w:val="false"/>
            <w:i w:val="false"/>
            <w:color w:val="000000"/>
            <w:sz w:val="24"/>
          </w:rPr>
          <w:t>78.1(20)</w:t>
        </w:r>
      </w:hyperlink>
      <w:r>
        <w:rPr>
          <w:rFonts w:ascii="Times New Roman" w:hAnsi="Times New Roman"/>
          <w:b w:val="false"/>
          <w:i w:val="false"/>
          <w:color w:val="000000"/>
          <w:sz w:val="24"/>
        </w:rPr>
        <w:t xml:space="preserve">. Kidney, cornea, skin, bone, allogeneic bone marrow, autologous bone marrow, heart, liver, and lung transplants are covered as specified in subrule </w:t>
      </w:r>
      <w:hyperlink r:id="rId58">
        <w:r>
          <w:rPr>
            <w:rStyle w:val="Hyperlink"/>
            <w:rFonts w:ascii="Times New Roman" w:hAnsi="Times New Roman"/>
            <w:b w:val="false"/>
            <w:i w:val="false"/>
            <w:color w:val="000000"/>
            <w:sz w:val="24"/>
          </w:rPr>
          <w:t>78.1(20)</w:t>
        </w:r>
      </w:hyperlink>
      <w:r>
        <w:rPr>
          <w:rFonts w:ascii="Times New Roman" w:hAnsi="Times New Roman"/>
          <w:b w:val="false"/>
          <w:i w:val="false"/>
          <w:color w:val="000000"/>
          <w:sz w:val="24"/>
        </w:rPr>
        <w:t>. Lung transplants are payable at Medicare-designated lung transplant centers only. Heart and liver transplants are payable when performed at facilities that meet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Recipient selection and education.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color w:val="000000"/>
          <w:sz w:val="24"/>
        </w:rPr>
        <w:t>Selection.</w:t>
      </w:r>
      <w:r>
        <w:rPr>
          <w:rFonts w:ascii="Times New Roman" w:hAnsi="Times New Roman"/>
          <w:b w:val="false"/>
          <w:i w:val="false"/>
          <w:color w:val="000000"/>
          <w:sz w:val="24"/>
        </w:rPr>
        <w:t xml:space="preserve"> The transplant center must have written criteria based on medical need for transplantation for final facility selection of recipients. These criteria should include an equitable, consistent and practical protocol for selection of recipients. The criteria must be at least as strict as those specified by Medicare.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color w:val="000000"/>
          <w:sz w:val="24"/>
        </w:rPr>
        <w:t>Education.</w:t>
      </w:r>
      <w:r>
        <w:rPr>
          <w:rFonts w:ascii="Times New Roman" w:hAnsi="Times New Roman"/>
          <w:b w:val="false"/>
          <w:i w:val="false"/>
          <w:color w:val="000000"/>
          <w:sz w:val="24"/>
        </w:rPr>
        <w:t xml:space="preserve"> The transplant center will provide a written plan for recipient education. It shall include educational plans for recipient, family and significant others during all phases of the program. These phases shall include:</w:t>
      </w:r>
    </w:p>
    <w:p>
      <w:pPr>
        <w:spacing w:before="0" w:after="0" w:line="480"/>
        <w:ind w:left="120"/>
        <w:jc w:val="both"/>
      </w:pPr>
      <w:r>
        <w:rPr>
          <w:rFonts w:ascii="Times New Roman" w:hAnsi="Times New Roman"/>
          <w:b w:val="false"/>
          <w:i w:val="false"/>
          <w:color w:val="000000"/>
          <w:sz w:val="24"/>
        </w:rPr>
        <w:t>Intake.</w:t>
      </w:r>
    </w:p>
    <w:p>
      <w:pPr>
        <w:spacing w:before="0" w:after="0" w:line="480"/>
        <w:ind w:left="120"/>
        <w:jc w:val="both"/>
      </w:pPr>
      <w:r>
        <w:rPr>
          <w:rFonts w:ascii="Times New Roman" w:hAnsi="Times New Roman"/>
          <w:b w:val="false"/>
          <w:i w:val="false"/>
          <w:color w:val="000000"/>
          <w:sz w:val="24"/>
        </w:rPr>
        <w:t>Preparation and waiting period.</w:t>
      </w:r>
    </w:p>
    <w:p>
      <w:pPr>
        <w:spacing w:before="0" w:after="0" w:line="480"/>
        <w:ind w:left="120"/>
        <w:jc w:val="both"/>
      </w:pPr>
      <w:r>
        <w:rPr>
          <w:rFonts w:ascii="Times New Roman" w:hAnsi="Times New Roman"/>
          <w:b w:val="false"/>
          <w:i w:val="false"/>
          <w:color w:val="000000"/>
          <w:sz w:val="24"/>
        </w:rPr>
        <w:t>Preadmission.</w:t>
      </w:r>
    </w:p>
    <w:p>
      <w:pPr>
        <w:spacing w:before="0" w:after="0" w:line="480"/>
        <w:ind w:left="120"/>
        <w:jc w:val="both"/>
      </w:pPr>
      <w:r>
        <w:rPr>
          <w:rFonts w:ascii="Times New Roman" w:hAnsi="Times New Roman"/>
          <w:b w:val="false"/>
          <w:i w:val="false"/>
          <w:color w:val="000000"/>
          <w:sz w:val="24"/>
        </w:rPr>
        <w:t>Hospitalization.</w:t>
      </w:r>
    </w:p>
    <w:p>
      <w:pPr>
        <w:spacing w:before="0" w:after="0" w:line="480"/>
        <w:ind w:left="120"/>
        <w:jc w:val="both"/>
      </w:pPr>
      <w:r>
        <w:rPr>
          <w:rFonts w:ascii="Times New Roman" w:hAnsi="Times New Roman"/>
          <w:b w:val="false"/>
          <w:i w:val="false"/>
          <w:color w:val="000000"/>
          <w:sz w:val="24"/>
        </w:rPr>
        <w:t>Discharge planning.</w:t>
      </w:r>
    </w:p>
    <w:p>
      <w:pPr>
        <w:spacing w:before="0" w:after="0" w:line="480"/>
        <w:ind w:left="120"/>
        <w:jc w:val="both"/>
      </w:pPr>
      <w:r>
        <w:rPr>
          <w:rFonts w:ascii="Times New Roman" w:hAnsi="Times New Roman"/>
          <w:b w:val="false"/>
          <w:i w:val="false"/>
          <w:color w:val="000000"/>
          <w:sz w:val="24"/>
        </w:rPr>
        <w:t>Follow-up.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Staffing and resource commitment.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color w:val="000000"/>
          <w:sz w:val="24"/>
        </w:rPr>
        <w:t>Transplant surgeon.</w:t>
      </w:r>
      <w:r>
        <w:rPr>
          <w:rFonts w:ascii="Times New Roman" w:hAnsi="Times New Roman"/>
          <w:b w:val="false"/>
          <w:i w:val="false"/>
          <w:color w:val="000000"/>
          <w:sz w:val="24"/>
        </w:rPr>
        <w:t xml:space="preserve"> The transplant center must have on staff a qualified transplant surgeon.</w:t>
      </w:r>
    </w:p>
    <w:p>
      <w:pPr>
        <w:spacing w:before="0" w:after="0" w:line="480"/>
        <w:ind w:left="120"/>
        <w:jc w:val="both"/>
      </w:pPr>
      <w:r>
        <w:rPr>
          <w:rFonts w:ascii="Times New Roman" w:hAnsi="Times New Roman"/>
          <w:b w:val="false"/>
          <w:i w:val="false"/>
          <w:color w:val="000000"/>
          <w:sz w:val="24"/>
        </w:rPr>
        <w:t>The surgeon must have received at least one year of training at a transplant center approved by the American Society of Transplant Surgeons under the direction of an experienced transplant surgeon and must have had at least two years of experience in all facets of transplant surgery specific to the surgeon’s specialty. This experience must include management of recipients’ presurgical and postsurgical care and actual experience as a member of a transplant team at the institution. The transplant surgeon will have an understanding of the principles of and demonstrated expertise in the use of immunosuppressive therapy.</w:t>
      </w:r>
    </w:p>
    <w:p>
      <w:pPr>
        <w:spacing w:before="0" w:after="0" w:line="480"/>
        <w:ind w:left="120"/>
        <w:jc w:val="both"/>
      </w:pPr>
      <w:r>
        <w:rPr>
          <w:rFonts w:ascii="Times New Roman" w:hAnsi="Times New Roman"/>
          <w:b w:val="false"/>
          <w:i w:val="false"/>
          <w:color w:val="000000"/>
          <w:sz w:val="24"/>
        </w:rPr>
        <w:t>The transplant surgeon will be certified by the American Board of Thoracic Surgery or equivalent for heart transplants and the American Board of Surgery or equivalent for liver transplants.</w:t>
      </w:r>
    </w:p>
    <w:p>
      <w:pPr>
        <w:spacing w:before="0" w:after="0" w:line="480"/>
        <w:ind w:left="120"/>
        <w:jc w:val="both"/>
      </w:pPr>
      <w:r>
        <w:rPr>
          <w:rFonts w:ascii="Times New Roman" w:hAnsi="Times New Roman"/>
          <w:b w:val="false"/>
          <w:i w:val="false"/>
          <w:color w:val="000000"/>
          <w:sz w:val="24"/>
        </w:rPr>
        <w:t>The transplant surgeon will be the defined leader of a stable, established transplant team that has a strong commitment to the transplant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color w:val="000000"/>
          <w:sz w:val="24"/>
        </w:rPr>
        <w:t>Transplant team.</w:t>
      </w:r>
      <w:r>
        <w:rPr>
          <w:rFonts w:ascii="Times New Roman" w:hAnsi="Times New Roman"/>
          <w:b w:val="false"/>
          <w:i w:val="false"/>
          <w:color w:val="000000"/>
          <w:sz w:val="24"/>
        </w:rPr>
        <w:t xml:space="preserve"> The transplant team will be clearly defined with leadership and corresponding responsibilities of all team members identified. The team should consist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surgeon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board-certified internist or pediatrician with training and expertise in organ transplantation medicine and clinical use of immunosuppressive regimens.</w:t>
      </w:r>
    </w:p>
    <w:p>
      <w:pPr>
        <w:spacing w:before="0" w:after="0" w:line="480"/>
        <w:ind w:left="120"/>
        <w:jc w:val="both"/>
      </w:pPr>
      <w:r>
        <w:rPr>
          <w:rFonts w:ascii="Times New Roman" w:hAnsi="Times New Roman"/>
          <w:b w:val="false"/>
          <w:i w:val="false"/>
          <w:color w:val="000000"/>
          <w:sz w:val="24"/>
        </w:rPr>
        <w:t>The transplant center will assume responsibility for initial training and continuing education of the transplant team and ancillary personnel. The center will maintain records that demonstrate competency in achieving, maintaining and improving skills in the distinct areas of expertise of each of the team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color w:val="000000"/>
          <w:sz w:val="24"/>
        </w:rPr>
        <w:t>Physicians.</w:t>
      </w:r>
      <w:r>
        <w:rPr>
          <w:rFonts w:ascii="Times New Roman" w:hAnsi="Times New Roman"/>
          <w:b w:val="false"/>
          <w:i w:val="false"/>
          <w:color w:val="000000"/>
          <w:sz w:val="24"/>
        </w:rPr>
        <w:t xml:space="preserve"> The transplant center will have on staff or available for consultation physicians with the following areas of expertise: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Anesthesiology.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Cardiology.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Dialysis.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Gastroenterology.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Hepatology.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Immunology.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Infectious diseases.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Nephrology.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Neurology.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Pathology.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Pediatrics.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Psychiatry.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Pulmonary medicine.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Radiology.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Rehabilitation medicine.</w:t>
      </w:r>
    </w:p>
    <w:p>
      <w:pPr>
        <w:spacing w:before="0" w:after="0" w:line="480"/>
        <w:ind w:left="120"/>
        <w:jc w:val="both"/>
      </w:pPr>
      <w:r>
        <w:rPr>
          <w:rFonts w:ascii="Times New Roman" w:hAnsi="Times New Roman"/>
          <w:b w:val="false"/>
          <w:i w:val="false"/>
          <w:color w:val="000000"/>
          <w:sz w:val="24"/>
        </w:rPr>
        <w:t>Liaison with the recipient’s permanent physician is established for the purpose of providing continuity and management of the recipient’s long-term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color w:val="000000"/>
          <w:sz w:val="24"/>
        </w:rPr>
        <w:t>Support personnel and resources.</w:t>
      </w:r>
      <w:r>
        <w:rPr>
          <w:rFonts w:ascii="Times New Roman" w:hAnsi="Times New Roman"/>
          <w:b w:val="false"/>
          <w:i w:val="false"/>
          <w:color w:val="000000"/>
          <w:sz w:val="24"/>
        </w:rPr>
        <w:t xml:space="preserve"> The center must have a commitment of sufficient resources and planning for implementation and operation of the transplant program. Indicators of the commitment will include persons with expertise in the following areas available at the transplant center: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Anesthesiology.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Blood bank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Cardiology.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Cardiovascular surgery.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Dialysis.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Dietary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Gastroenterology.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Infection control.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Laboratory services (pathology, microbiology, immunology, tissue typing, andimmunosuppressive drug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Legal counsel familiar with transplantation laws and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Nursing service department with staff available who have expertise in the care of transplant recipients, especially in managing immunosuppressed patients and hemodynamic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Respiratory 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Pharmaceutical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Physical 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Psychiatry.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Psycho-social.</w:t>
      </w:r>
    </w:p>
    <w:p>
      <w:pPr>
        <w:spacing w:before="0" w:after="0" w:line="480"/>
        <w:ind w:left="120"/>
        <w:jc w:val="both"/>
      </w:pPr>
      <w:r>
        <w:rPr>
          <w:rFonts w:ascii="Times New Roman" w:hAnsi="Times New Roman"/>
          <w:b w:val="false"/>
          <w:i w:val="false"/>
          <w:color w:val="000000"/>
          <w:sz w:val="24"/>
        </w:rPr>
        <w:t>The center will have active cardiovascular, medical, and surgical programs with the ability and willingness to perform diagnostic and evaluative procedures appropriate to transplants on an emergency and ongoing basis.</w:t>
      </w:r>
    </w:p>
    <w:p>
      <w:pPr>
        <w:spacing w:before="0" w:after="0" w:line="480"/>
        <w:ind w:left="120"/>
        <w:jc w:val="both"/>
      </w:pPr>
      <w:r>
        <w:rPr>
          <w:rFonts w:ascii="Times New Roman" w:hAnsi="Times New Roman"/>
          <w:b w:val="false"/>
          <w:i w:val="false"/>
          <w:color w:val="000000"/>
          <w:sz w:val="24"/>
        </w:rPr>
        <w:t>The center will have designated an adequate number of intensive care and general service beds to support the transplant center.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color w:val="000000"/>
          <w:sz w:val="24"/>
        </w:rPr>
        <w:t>Laboratory.</w:t>
      </w:r>
      <w:r>
        <w:rPr>
          <w:rFonts w:ascii="Times New Roman" w:hAnsi="Times New Roman"/>
          <w:b w:val="false"/>
          <w:i w:val="false"/>
          <w:color w:val="000000"/>
          <w:sz w:val="24"/>
        </w:rPr>
        <w:t xml:space="preserve"> Each transplant center must have direct local 24-hour per day access to histocompatibility testing facilities. These facilities must meet the Standards for Histocompatibility Testing set forth by the Committee on Quality Assurance and Standards of the American Society for Histocompatibility and Immunogenetics (ASHI) as amended to July 1, 2026. As specified by ASHI, the director of the facility shall hold a doctoral degree in biological science, or be a physician, and subsequent to graduation shall have had four years’ experience in immunology, two of which were devoted to formal training in human histocompatibility testing, documented to be professionally competent by external measures such as national proficiency testing, participation in national or international workshops or publications in peer-reviewed journals. The laboratory must successfully participate in a regional or national testing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Experience and survival rates.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color w:val="000000"/>
          <w:sz w:val="24"/>
        </w:rPr>
        <w:t>Experience.</w:t>
      </w:r>
      <w:r>
        <w:rPr>
          <w:rFonts w:ascii="Times New Roman" w:hAnsi="Times New Roman"/>
          <w:b w:val="false"/>
          <w:i w:val="false"/>
          <w:color w:val="000000"/>
          <w:sz w:val="24"/>
        </w:rPr>
        <w:t xml:space="preserve"> Centers will be given a minimum volume requirement of 12 heart or 12 liver transplants that should be met within one year. Due to special considerations such as patient case mix or donor availability, an additional one year conditional approval may be given if the minimum volume is not met the first year. For approval of an extrarenal organ transplant program it is highly desirable that the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Has available a complete team of surgeons, physicians, and other specialists with specific experience in transplantation of that organ,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Has an established approved renal transplant program at that institution and personnel with expertise in the extrarenal organ system itself.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color w:val="000000"/>
          <w:sz w:val="24"/>
        </w:rPr>
        <w:t>Survival rates.</w:t>
      </w:r>
      <w:r>
        <w:rPr>
          <w:rFonts w:ascii="Times New Roman" w:hAnsi="Times New Roman"/>
          <w:b w:val="false"/>
          <w:i w:val="false"/>
          <w:color w:val="000000"/>
          <w:sz w:val="24"/>
        </w:rPr>
        <w:t xml:space="preserve"> The transplant center will achieve a record of acceptable performance consistent with the performance and outcomes at other successful designated transplant centers. The center will collect and maintain recipient and graft survival and complication rates. A level of satisfactory success and safety will be demonstrated with bases for substantial probability of continued performance at an acceptable level. To encourage a high level of performance, transplant programs must achieve and maintain a minimum one-year patient survival rate of 70 percent for heart transplants and 50 percent for liver transplants.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Organ procurement. </w:t>
      </w:r>
      <w:r>
        <w:rPr>
          <w:rFonts w:ascii="Times New Roman" w:hAnsi="Times New Roman"/>
          <w:b w:val="false"/>
          <w:i w:val="false"/>
          <w:color w:val="000000"/>
          <w:sz w:val="24"/>
        </w:rPr>
        <w:t xml:space="preserve">The transplant center will participate in a nationwide organ procurement and typing network. Detailed plans must exist for organ procurement yielding viable transplantable organs in reasonable numbers, meeting established legal and ethical criteria.The transplant center must be a member of the National Organ Procurement and Transplant Network.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Maintenance of data, research, review and evaluation.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color w:val="000000"/>
          <w:sz w:val="24"/>
        </w:rPr>
        <w:t>Maintenance of data.</w:t>
      </w:r>
      <w:r>
        <w:rPr>
          <w:rFonts w:ascii="Times New Roman" w:hAnsi="Times New Roman"/>
          <w:b w:val="false"/>
          <w:i w:val="false"/>
          <w:color w:val="000000"/>
          <w:sz w:val="24"/>
        </w:rPr>
        <w:t xml:space="preserve"> The transplant center will collect and maintain data on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Risk and benefit.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Morbidity and mortality.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Long-term survival.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Quality of life.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Recipient demographic information.</w:t>
      </w:r>
    </w:p>
    <w:p>
      <w:pPr>
        <w:spacing w:before="0" w:after="0" w:line="480"/>
        <w:ind w:left="120"/>
        <w:jc w:val="both"/>
      </w:pPr>
      <w:r>
        <w:rPr>
          <w:rFonts w:ascii="Times New Roman" w:hAnsi="Times New Roman"/>
          <w:b w:val="false"/>
          <w:i w:val="false"/>
          <w:color w:val="000000"/>
          <w:sz w:val="24"/>
        </w:rPr>
        <w:t>These data should be compiled and maintained at the transplant center monthly. The transplant center will submit the above data to the United Network for Organ Sharing yearly.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color w:val="000000"/>
          <w:sz w:val="24"/>
        </w:rPr>
        <w:t>Research.</w:t>
      </w:r>
      <w:r>
        <w:rPr>
          <w:rFonts w:ascii="Times New Roman" w:hAnsi="Times New Roman"/>
          <w:b w:val="false"/>
          <w:i w:val="false"/>
          <w:color w:val="000000"/>
          <w:sz w:val="24"/>
        </w:rPr>
        <w:t xml:space="preserve"> The transplant center will have a plan for and a commitment to research. Ongoing research regarding the transplanted organs is required. The transplant center will have a program in graduate medical education or have a formal agreement with a teaching institution for affiliation with a graduate medical education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color w:val="000000"/>
          <w:sz w:val="24"/>
        </w:rPr>
        <w:t>Review and evaluation.</w:t>
      </w:r>
      <w:r>
        <w:rPr>
          <w:rFonts w:ascii="Times New Roman" w:hAnsi="Times New Roman"/>
          <w:b w:val="false"/>
          <w:i w:val="false"/>
          <w:color w:val="000000"/>
          <w:sz w:val="24"/>
        </w:rPr>
        <w:t xml:space="preserve"> The transplant center will have a plan for ongoing evaluation of the transplantation program. The transplant center will have a detailed plan for review and evaluation of recipient selection, preoperative, operative, postoperative and long-term management of the recipient. The transplant center will conduct concurrent ongoing studies to ensure high quality services are provided in the transplantation program. The transplant center will provide information to members of the transplant team and ancillary staff regarding the findings of the quality assurance studies. This information will be utilized to provide education geared toward interventions to improve staff performance and reduce complications occurring in the transplant process. The transplant center will maintain records of all quality assurance and peer review activities concerning the transplantation program to document identification of problems or potential problems, intervention, education and follow-up.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Application procedure. </w:t>
      </w:r>
      <w:r>
        <w:rPr>
          <w:rFonts w:ascii="Times New Roman" w:hAnsi="Times New Roman"/>
          <w:b w:val="false"/>
          <w:i w:val="false"/>
          <w:color w:val="000000"/>
          <w:sz w:val="24"/>
        </w:rPr>
        <w:t>A Medicare-designated heart, liver, or lung transplant facility needs only to submit evidence of this designation to Iowa Medicaid. The application procedure for other heart and liver facilities is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original and two copies of the application must be submitted on 8½ by 11 inch paper, signed by a person authorized to do so. The facility must be a participating hospital under Medicaid and must specify its provider number, and the name and telephone number of a contact person should there be questions regarding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Information and data must be clearly stated, well organized and appropriately indexed to aid in its review against the criteria specified in this rule. Each page must be numbered.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To the extent possible, the application should be organized into five sections corresponding to each of the five major criteria and addressing, in order, each of the subcriteria identified.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application should be mailed to Iowa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Review and approval of facilities. </w:t>
      </w:r>
      <w:r>
        <w:rPr>
          <w:rFonts w:ascii="Times New Roman" w:hAnsi="Times New Roman"/>
          <w:b w:val="false"/>
          <w:i w:val="false"/>
          <w:color w:val="000000"/>
          <w:sz w:val="24"/>
        </w:rPr>
        <w:t>An organized review committee will be established to evaluate performance and survival statistics and make recommendations regarding approval as a designated transplant center based on acceptable performance standards established by the review organization and approved by the Medicaid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There will be established protocol for the systematic evaluation of patient outcome including survival statistics.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Once a facility applies for approval and is approved as a heart or liver transplant facility for Medicaid purposes, it is obliged to report immediately to the department any events or changes that would affect its approved status. Specifically, a facility must report any significant decrease in its experience level or survival rates, the transplantation of patients who do not meet its patient selection criteria, the loss of key members of the transplant team, or any other major changes that could affect the performance of heart or liver transplants at the facility. Changes from the terms of approval may lead to withdrawal of approval for Medicaid coverage of heart or liver transplants performed at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78.3(11)</w:t>
      </w:r>
      <w:r>
        <w:rPr>
          <w:rFonts w:ascii="Times New Roman" w:hAnsi="Times New Roman"/>
          <w:b w:val="false"/>
          <w:i w:val="false"/>
          <w:color w:val="000000"/>
          <w:sz w:val="24"/>
        </w:rPr>
        <w:t> </w:t>
      </w:r>
      <w:r>
        <w:rPr>
          <w:rFonts w:ascii="Times New Roman" w:hAnsi="Times New Roman"/>
          <w:b w:val="false"/>
          <w:i w:val="false"/>
          <w:color w:val="000000"/>
          <w:sz w:val="24"/>
        </w:rPr>
        <w:t>Payment will be approved for inpatient hospital care rendered a patient in connection with dental treatment only when the mental, physical, or emotional condition of the patient prevents the dentist from providing this necessary care in the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78.3(12)</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will be approved for an assessment fee as specified in 441—paragraphs </w:t>
      </w:r>
      <w:hyperlink r:id="rId59">
        <w:r>
          <w:rPr>
            <w:rStyle w:val="Hyperlink"/>
            <w:rFonts w:ascii="Times New Roman" w:hAnsi="Times New Roman"/>
            <w:b w:val="false"/>
            <w:i w:val="false"/>
            <w:color w:val="000000"/>
            <w:sz w:val="24"/>
          </w:rPr>
          <w:t>79.1(16)</w:t>
        </w:r>
        <w:r>
          <w:rPr>
            <w:rFonts w:ascii="Times New Roman" w:hAnsi="Times New Roman"/>
            <w:b w:val="false"/>
            <w:i/>
            <w:color w:val="000000"/>
            <w:sz w:val="24"/>
          </w:rPr>
          <w:t>“a”</w:t>
        </w:r>
      </w:hyperlink>
      <w:r>
        <w:rPr>
          <w:rFonts w:ascii="Times New Roman" w:hAnsi="Times New Roman"/>
          <w:b w:val="false"/>
          <w:i w:val="false"/>
          <w:color w:val="000000"/>
          <w:sz w:val="24"/>
        </w:rPr>
        <w:t xml:space="preserve"> and </w:t>
      </w:r>
      <w:r>
        <w:rPr>
          <w:rFonts w:ascii="Times New Roman" w:hAnsi="Times New Roman"/>
          <w:b w:val="false"/>
          <w:i/>
          <w:color w:val="000000"/>
          <w:sz w:val="24"/>
        </w:rPr>
        <w:t>“r”</w:t>
      </w:r>
      <w:r>
        <w:rPr>
          <w:rFonts w:ascii="Times New Roman" w:hAnsi="Times New Roman"/>
          <w:b w:val="false"/>
          <w:i w:val="false"/>
          <w:color w:val="000000"/>
          <w:sz w:val="24"/>
        </w:rPr>
        <w:t xml:space="preserve"> to determine if a medical emergency exists. Medical emergency is defined as a sudden or unforeseen occurrence or combination of circumstances presenting a substantial risk to an individual’s health unless immediate medical treatment is given. The determination of whether a medical emergency exists will be based on the patient’s medical condition including presenting symptoms and medical history prior to treatment or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78.3(13)</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for patients in acute hospital beds who are determined by Iowa Medicaid to require the skilled nursing care level of care shall be made at an amount equal to the sum of the direct care rate component limit for Medicare-certified hospital-based nursing facilities pursuant to </w:t>
      </w:r>
      <w:hyperlink r:id="rId60">
        <w:r>
          <w:rPr>
            <w:rStyle w:val="Hyperlink"/>
            <w:rFonts w:ascii="Times New Roman" w:hAnsi="Times New Roman"/>
            <w:b w:val="false"/>
            <w:i w:val="false"/>
            <w:color w:val="000000"/>
            <w:sz w:val="24"/>
          </w:rPr>
          <w:t>441—paragraph 81.5(16)</w:t>
        </w:r>
        <w:r>
          <w:rPr>
            <w:rFonts w:ascii="Times New Roman" w:hAnsi="Times New Roman"/>
            <w:b w:val="false"/>
            <w:i/>
            <w:color w:val="000000"/>
            <w:sz w:val="24"/>
          </w:rPr>
          <w:t>“f”</w:t>
        </w:r>
      </w:hyperlink>
      <w:r>
        <w:rPr>
          <w:rFonts w:ascii="Times New Roman" w:hAnsi="Times New Roman"/>
          <w:b w:val="false"/>
          <w:i w:val="false"/>
          <w:color w:val="000000"/>
          <w:sz w:val="24"/>
        </w:rPr>
        <w:t xml:space="preserve"> plus the non-direct care rate component limit for Medicare-certified hospital-based nursing facilities pursuant to </w:t>
      </w:r>
      <w:hyperlink r:id="rId61">
        <w:r>
          <w:rPr>
            <w:rStyle w:val="Hyperlink"/>
            <w:rFonts w:ascii="Times New Roman" w:hAnsi="Times New Roman"/>
            <w:b w:val="false"/>
            <w:i w:val="false"/>
            <w:color w:val="000000"/>
            <w:sz w:val="24"/>
          </w:rPr>
          <w:t>441—paragraph 81.5(16)</w:t>
        </w:r>
        <w:r>
          <w:rPr>
            <w:rFonts w:ascii="Times New Roman" w:hAnsi="Times New Roman"/>
            <w:b w:val="false"/>
            <w:i/>
            <w:color w:val="000000"/>
            <w:sz w:val="24"/>
          </w:rPr>
          <w:t>“f,”</w:t>
        </w:r>
      </w:hyperlink>
      <w:r>
        <w:rPr>
          <w:rFonts w:ascii="Times New Roman" w:hAnsi="Times New Roman"/>
          <w:b w:val="false"/>
          <w:i w:val="false"/>
          <w:color w:val="000000"/>
          <w:sz w:val="24"/>
        </w:rPr>
        <w:t xml:space="preserve"> with the rate component limits being revised July 1, 2001, and every second year thereafter. This rate is effective: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As of the date of notice by Iowa Medicaid that the lower level of care is required,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the days Iowa Medicaid determines in an outlier review that the lower level of care was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78.3(14)</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for patients in acute hospital beds who are determined by Iowa Medicaid to require nursing facility level of care shall be made at an amount equal to the sum of the direct care rate component limit for Medicaid nursing facilities pursuant to </w:t>
      </w:r>
      <w:hyperlink r:id="rId62">
        <w:r>
          <w:rPr>
            <w:rStyle w:val="Hyperlink"/>
            <w:rFonts w:ascii="Times New Roman" w:hAnsi="Times New Roman"/>
            <w:b w:val="false"/>
            <w:i w:val="false"/>
            <w:color w:val="000000"/>
            <w:sz w:val="24"/>
          </w:rPr>
          <w:t>441—paragraph 81.5(16)</w:t>
        </w:r>
        <w:r>
          <w:rPr>
            <w:rFonts w:ascii="Times New Roman" w:hAnsi="Times New Roman"/>
            <w:b w:val="false"/>
            <w:i/>
            <w:color w:val="000000"/>
            <w:sz w:val="24"/>
          </w:rPr>
          <w:t>“f”</w:t>
        </w:r>
      </w:hyperlink>
      <w:r>
        <w:rPr>
          <w:rFonts w:ascii="Times New Roman" w:hAnsi="Times New Roman"/>
          <w:b w:val="false"/>
          <w:i w:val="false"/>
          <w:color w:val="000000"/>
          <w:sz w:val="24"/>
        </w:rPr>
        <w:t xml:space="preserve"> plus the non-direct care rate component limit for Medicaid nursing facilities pursuant to </w:t>
      </w:r>
      <w:hyperlink r:id="rId63">
        <w:r>
          <w:rPr>
            <w:rStyle w:val="Hyperlink"/>
            <w:rFonts w:ascii="Times New Roman" w:hAnsi="Times New Roman"/>
            <w:b w:val="false"/>
            <w:i w:val="false"/>
            <w:color w:val="000000"/>
            <w:sz w:val="24"/>
          </w:rPr>
          <w:t>441—paragraph 81.5(16)</w:t>
        </w:r>
        <w:r>
          <w:rPr>
            <w:rFonts w:ascii="Times New Roman" w:hAnsi="Times New Roman"/>
            <w:b w:val="false"/>
            <w:i/>
            <w:color w:val="000000"/>
            <w:sz w:val="24"/>
          </w:rPr>
          <w:t>“f,”</w:t>
        </w:r>
      </w:hyperlink>
      <w:r>
        <w:rPr>
          <w:rFonts w:ascii="Times New Roman" w:hAnsi="Times New Roman"/>
          <w:b w:val="false"/>
          <w:i w:val="false"/>
          <w:color w:val="000000"/>
          <w:sz w:val="24"/>
        </w:rPr>
        <w:t xml:space="preserve"> with the rate component limits being revised July 1, 2001, and every second year thereafter. This rate is effective: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As of the date of notice by Iowa Medicaid that the lower level of care is required,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the days Iowa Medicaid determines in an outlier review that the lower level of care was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78.3(15)</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for inpatient hospital charges associated with surgical procedures normally done and billed on an outpatient hospital basis is subject to review by Iowa Medicaid. Such reviews are based on random claim samples that are pulled on a monthly basis. If the information on a given inpatient claim included in that sample does not appear to support the appropriateness of inpatient level of care, that claim is sent to the Iowa Medicaid medical director for further review. If the medical director approves the inpatient level of care, the claim is paid. However, if the medical director determines that the care provided could have been rendered at a lower level of care, the hospital and attending physician are notified accordingly. If the hospital agrees with the finding that a lower level of care was appropriate, the hospital submits a new claim for the lower level of care. If the hospital disagrees with the lower level of care finding, the hospital can submit additional documentation for further review. The hospital or attending physician or both may appeal any final determination by Iowa Medicaid pursuant to </w:t>
      </w:r>
      <w:hyperlink r:id="rId64">
        <w:r>
          <w:rPr>
            <w:rStyle w:val="Hyperlink"/>
            <w:rFonts w:ascii="Times New Roman" w:hAnsi="Times New Roman"/>
            <w:b w:val="false"/>
            <w:i w:val="false"/>
            <w:color w:val="000000"/>
            <w:sz w:val="24"/>
          </w:rPr>
          <w:t>441—Chapter 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78.3(16)</w:t>
      </w:r>
      <w:r>
        <w:rPr>
          <w:rFonts w:ascii="Times New Roman" w:hAnsi="Times New Roman"/>
          <w:b w:val="false"/>
          <w:i w:val="false"/>
          <w:color w:val="000000"/>
          <w:sz w:val="24"/>
        </w:rPr>
        <w:t> </w:t>
      </w:r>
      <w:r>
        <w:rPr>
          <w:rFonts w:ascii="Times New Roman" w:hAnsi="Times New Roman"/>
          <w:b w:val="false"/>
          <w:i w:val="false"/>
          <w:color w:val="000000"/>
          <w:sz w:val="24"/>
        </w:rPr>
        <w:t>Skilled nursing care in “swing beds.”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will be made for medically necessary skilled nursing care when provided by a hospital participating in the swing-bed program certified by the department of inspections, appeals, and licensing and approved by the U.S. Department of Health and Human Services. Payment shall be at an amount equal to the sum of the direct care rate component limit for Medicare-certified hospital-based nursing facilities pursuant to </w:t>
      </w:r>
      <w:hyperlink r:id="rId65">
        <w:r>
          <w:rPr>
            <w:rStyle w:val="Hyperlink"/>
            <w:rFonts w:ascii="Times New Roman" w:hAnsi="Times New Roman"/>
            <w:b w:val="false"/>
            <w:i w:val="false"/>
            <w:color w:val="000000"/>
            <w:sz w:val="24"/>
          </w:rPr>
          <w:t>441—paragraph 81.5(16)</w:t>
        </w:r>
        <w:r>
          <w:rPr>
            <w:rFonts w:ascii="Times New Roman" w:hAnsi="Times New Roman"/>
            <w:b w:val="false"/>
            <w:i/>
            <w:color w:val="000000"/>
            <w:sz w:val="24"/>
          </w:rPr>
          <w:t>“f”</w:t>
        </w:r>
      </w:hyperlink>
      <w:r>
        <w:rPr>
          <w:rFonts w:ascii="Times New Roman" w:hAnsi="Times New Roman"/>
          <w:b w:val="false"/>
          <w:i w:val="false"/>
          <w:color w:val="000000"/>
          <w:sz w:val="24"/>
        </w:rPr>
        <w:t xml:space="preserve"> and the non-direct care rate component limit for Medicare-certified hospital-based nursing facilities pursuant to </w:t>
      </w:r>
      <w:hyperlink r:id="rId66">
        <w:r>
          <w:rPr>
            <w:rStyle w:val="Hyperlink"/>
            <w:rFonts w:ascii="Times New Roman" w:hAnsi="Times New Roman"/>
            <w:b w:val="false"/>
            <w:i w:val="false"/>
            <w:color w:val="000000"/>
            <w:sz w:val="24"/>
          </w:rPr>
          <w:t>441—paragraph 81.5(16)</w:t>
        </w:r>
        <w:r>
          <w:rPr>
            <w:rFonts w:ascii="Times New Roman" w:hAnsi="Times New Roman"/>
            <w:b w:val="false"/>
            <w:i/>
            <w:color w:val="000000"/>
            <w:sz w:val="24"/>
          </w:rPr>
          <w:t>“f”</w:t>
        </w:r>
      </w:hyperlink>
      <w:r>
        <w:rPr>
          <w:rFonts w:ascii="Times New Roman" w:hAnsi="Times New Roman"/>
          <w:b w:val="false"/>
          <w:i w:val="false"/>
          <w:color w:val="000000"/>
          <w:sz w:val="24"/>
        </w:rPr>
        <w:t xml:space="preserve"> with the rate component limits being revised July 1, 2001, and every second year thereafter. Swing-bed placement is only intended to be short-term in nature.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Any payment for skilled nursing care provided in a hospital with a certified swing-bed program, for either initial admission or continued stay, will require prior authorization, subject to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hospital has fewer than 100 beds, excluding beds for newborns and intensive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hospital has an existing certification for a swing-bed program, pursuant to paragraph </w:t>
      </w:r>
      <w:hyperlink r:id="rId67">
        <w:r>
          <w:rPr>
            <w:rStyle w:val="Hyperlink"/>
            <w:rFonts w:ascii="Times New Roman" w:hAnsi="Times New Roman"/>
            <w:b w:val="false"/>
            <w:i w:val="false"/>
            <w:color w:val="000000"/>
            <w:sz w:val="24"/>
          </w:rPr>
          <w:t>78.3(16)</w:t>
        </w:r>
        <w:r>
          <w:rPr>
            <w:rFonts w:ascii="Times New Roman" w:hAnsi="Times New Roman"/>
            <w:b w:val="false"/>
            <w:i/>
            <w:color w:val="000000"/>
            <w:sz w:val="24"/>
          </w:rPr>
          <w:t>“a.”</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member is being admitted for nursing facility or skilled level of care (if the member has Medicare and skilled coverage has been exhausted).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As part of the discharge planning process for a member requiring ongoing skilled nursing care, the hospital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Complete a level of care (LOC) determination describing a member’s LOC needs, using a department Swing Bed Certification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Contact skilled nursing facilities within a 30-mile radius of the hospital regarding available beds to meet the member’s LOC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Certify that no freestanding skilled nursing facility beds are available for the member within a 30-mile radius of the hospital, which will be able to appropriately meet the member’s needs and that home-based care for the member is not available or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Swing-bed stays beyond 14 days will only be approved when there is no appropriate freestanding nursing facility bed available within a 30-mile radius and home-based care for the member is not available or appropriate, as documented by the hospital seeking the swing-bed admission. For the purpose of these criteria, an “appropriate” nursing facility bed is a bed in a Medicaid-participating freestanding nursing facility that provides the LOC required for the member’s medical condition and corresponding LOC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 Medicaid member who has been in a swing bed beyond 14 days must be discharged to an appropriate nursing facility bed within a 30-mile radius of the swing-bed hospital or to appropriate home-based care within 72 hours of an appropriate nursing facility bed becoming available.</w:t>
      </w:r>
    </w:p>
    <w:p>
      <w:pPr>
        <w:spacing w:before="0" w:after="0" w:line="480"/>
        <w:ind w:left="120"/>
        <w:jc w:val="both"/>
      </w:pPr>
      <w:r>
        <w:rPr>
          <w:rFonts w:ascii="Times New Roman" w:hAnsi="Times New Roman"/>
          <w:b w:val="false"/>
          <w:i w:val="false"/>
          <w:color w:val="000000"/>
          <w:sz w:val="24"/>
        </w:rPr>
        <w:t>Preadmission screening and resident review (PASRR) rules still apply for members being transferred to a nursing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78.3(17)</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78.3(18)</w:t>
      </w:r>
      <w:r>
        <w:rPr>
          <w:rFonts w:ascii="Times New Roman" w:hAnsi="Times New Roman"/>
          <w:b w:val="false"/>
          <w:i w:val="false"/>
          <w:color w:val="000000"/>
          <w:sz w:val="24"/>
        </w:rPr>
        <w:t> </w:t>
      </w:r>
      <w:r>
        <w:rPr>
          <w:rFonts w:ascii="Times New Roman" w:hAnsi="Times New Roman"/>
          <w:b w:val="false"/>
          <w:i w:val="false"/>
          <w:color w:val="000000"/>
          <w:sz w:val="24"/>
        </w:rPr>
        <w:t xml:space="preserve">Preprocedure review by Iowa Medicaid is required if hospitals are to be reimbursed for certain frequently performed surgical procedures as set forth under subrule </w:t>
      </w:r>
      <w:hyperlink r:id="rId68">
        <w:r>
          <w:rPr>
            <w:rStyle w:val="Hyperlink"/>
            <w:rFonts w:ascii="Times New Roman" w:hAnsi="Times New Roman"/>
            <w:b w:val="false"/>
            <w:i w:val="false"/>
            <w:color w:val="000000"/>
            <w:sz w:val="24"/>
          </w:rPr>
          <w:t>78.1(19)</w:t>
        </w:r>
      </w:hyperlink>
      <w:r>
        <w:rPr>
          <w:rFonts w:ascii="Times New Roman" w:hAnsi="Times New Roman"/>
          <w:b w:val="false"/>
          <w:i w:val="false"/>
          <w:color w:val="000000"/>
          <w:sz w:val="24"/>
        </w:rPr>
        <w:t>. Preprocedure review is also required for other types of major surgical procedures, such as organ transplants. Criteria are available from Iowa Medicaid.</w:t>
      </w:r>
    </w:p>
    <w:p>
      <w:pPr>
        <w:spacing w:before="0" w:after="0" w:line="480"/>
        <w:ind w:left="120"/>
        <w:jc w:val="both"/>
      </w:pPr>
      <w:r>
        <w:rPr>
          <w:rFonts w:ascii="Times New Roman" w:hAnsi="Times New Roman"/>
          <w:b/>
          <w:i w:val="false"/>
          <w:color w:val="000000"/>
          <w:sz w:val="24"/>
        </w:rPr>
        <w:t>441—78.4</w:t>
      </w:r>
      <w:r>
        <w:rPr>
          <w:rFonts w:ascii="Times New Roman" w:hAnsi="Times New Roman"/>
          <w:b/>
          <w:i w:val="false"/>
          <w:color w:val="000000"/>
          <w:sz w:val="24"/>
        </w:rPr>
        <w:t xml:space="preserve">(249A) </w:t>
      </w:r>
      <w:r>
        <w:rPr>
          <w:rFonts w:ascii="Times New Roman" w:hAnsi="Times New Roman"/>
          <w:b/>
          <w:i w:val="false"/>
          <w:color w:val="000000"/>
          <w:sz w:val="24"/>
        </w:rPr>
        <w:t xml:space="preserve">Dental services. </w:t>
      </w:r>
      <w:r>
        <w:rPr>
          <w:rFonts w:ascii="Times New Roman" w:hAnsi="Times New Roman"/>
          <w:b w:val="false"/>
          <w:i w:val="false"/>
          <w:color w:val="000000"/>
          <w:sz w:val="24"/>
        </w:rPr>
        <w:t>Payment is authorized only for medically necessary dental and oral surgery services provided by a dentist to the extent these services are permitted to be performed under state law either by doctors of medicine, osteopathy, dental surgery or dental medicine and would be covered if furnished by doctors of medicine or osteopathy.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78.4(1)</w:t>
      </w:r>
      <w:r>
        <w:rPr>
          <w:rFonts w:ascii="Times New Roman" w:hAnsi="Times New Roman"/>
          <w:b w:val="false"/>
          <w:i w:val="false"/>
          <w:color w:val="000000"/>
          <w:sz w:val="24"/>
        </w:rPr>
        <w:t> </w:t>
      </w:r>
      <w:r>
        <w:rPr>
          <w:rFonts w:ascii="Times New Roman" w:hAnsi="Times New Roman"/>
          <w:b w:val="false"/>
          <w:i/>
          <w:color w:val="000000"/>
          <w:sz w:val="24"/>
        </w:rPr>
        <w:t xml:space="preserve">Covered services. </w:t>
      </w:r>
      <w:r>
        <w:rPr>
          <w:rFonts w:ascii="Times New Roman" w:hAnsi="Times New Roman"/>
          <w:b w:val="false"/>
          <w:i w:val="false"/>
          <w:color w:val="000000"/>
          <w:sz w:val="24"/>
        </w:rPr>
        <w:t xml:space="preserve">Covered dental services include preventive, diagnostic, restorative, endodontic, periodontic, prosthodontic, oral and maxillofacial surgery, orthodontic, and adjustive general procedures as defined in the Iowa Medicaid Dental Services Provider Manual as amended to July 1, 2026.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78.4(2)</w:t>
      </w:r>
      <w:r>
        <w:rPr>
          <w:rFonts w:ascii="Times New Roman" w:hAnsi="Times New Roman"/>
          <w:b w:val="false"/>
          <w:i w:val="false"/>
          <w:color w:val="000000"/>
          <w:sz w:val="24"/>
        </w:rPr>
        <w:t> </w:t>
      </w:r>
      <w:r>
        <w:rPr>
          <w:rFonts w:ascii="Times New Roman" w:hAnsi="Times New Roman"/>
          <w:b w:val="false"/>
          <w:i/>
          <w:color w:val="000000"/>
          <w:sz w:val="24"/>
        </w:rPr>
        <w:t xml:space="preserve">Prior authorization. </w:t>
      </w:r>
      <w:r>
        <w:rPr>
          <w:rFonts w:ascii="Times New Roman" w:hAnsi="Times New Roman"/>
          <w:b w:val="false"/>
          <w:i w:val="false"/>
          <w:color w:val="000000"/>
          <w:sz w:val="24"/>
        </w:rPr>
        <w:t xml:space="preserve">Certain dental services require prior authorization. Covered dental service categories requiring prior approval are defined and outlined in the Iowa Medicaid Dental Services Provider Manual as amended to July 1, 2026.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78.4(3)</w:t>
      </w:r>
      <w:r>
        <w:rPr>
          <w:rFonts w:ascii="Times New Roman" w:hAnsi="Times New Roman"/>
          <w:b w:val="false"/>
          <w:i w:val="false"/>
          <w:color w:val="000000"/>
          <w:sz w:val="24"/>
        </w:rPr>
        <w:t> </w:t>
      </w:r>
      <w:r>
        <w:rPr>
          <w:rFonts w:ascii="Times New Roman" w:hAnsi="Times New Roman"/>
          <w:b w:val="false"/>
          <w:i/>
          <w:color w:val="000000"/>
          <w:sz w:val="24"/>
        </w:rPr>
        <w:t xml:space="preserve">Service setting. </w:t>
      </w:r>
      <w:r>
        <w:rPr>
          <w:rFonts w:ascii="Times New Roman" w:hAnsi="Times New Roman"/>
          <w:b w:val="false"/>
          <w:i w:val="false"/>
          <w:color w:val="000000"/>
          <w:sz w:val="24"/>
        </w:rPr>
        <w:t xml:space="preserve">When dental services cannot be safely performed in a dental office, they may be provided in a hospital or ambulatory surgical center and reimbursed in accordance with rule </w:t>
      </w:r>
      <w:hyperlink r:id="rId69">
        <w:r>
          <w:rPr>
            <w:rStyle w:val="Hyperlink"/>
            <w:rFonts w:ascii="Times New Roman" w:hAnsi="Times New Roman"/>
            <w:b w:val="false"/>
            <w:i w:val="false"/>
            <w:color w:val="000000"/>
            <w:sz w:val="24"/>
          </w:rPr>
          <w:t>441—78.26</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78.4(4)</w:t>
      </w:r>
      <w:r>
        <w:rPr>
          <w:rFonts w:ascii="Times New Roman" w:hAnsi="Times New Roman"/>
          <w:b w:val="false"/>
          <w:i w:val="false"/>
          <w:color w:val="000000"/>
          <w:sz w:val="24"/>
        </w:rPr>
        <w:t> </w:t>
      </w:r>
      <w:r>
        <w:rPr>
          <w:rFonts w:ascii="Times New Roman" w:hAnsi="Times New Roman"/>
          <w:b w:val="false"/>
          <w:i/>
          <w:color w:val="000000"/>
          <w:sz w:val="24"/>
        </w:rPr>
        <w:t xml:space="preserve">Compliance. </w:t>
      </w:r>
      <w:r>
        <w:rPr>
          <w:rFonts w:ascii="Times New Roman" w:hAnsi="Times New Roman"/>
          <w:b w:val="false"/>
          <w:i w:val="false"/>
          <w:color w:val="000000"/>
          <w:sz w:val="24"/>
        </w:rPr>
        <w:t>Payment requires compliance with Iowa Medicaid policies, clinical criteria, and documentation requirements as specified in the Iowa Medicaid Dental Services Provider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78.4(5)</w:t>
      </w:r>
      <w:r>
        <w:rPr>
          <w:rFonts w:ascii="Times New Roman" w:hAnsi="Times New Roman"/>
          <w:b w:val="false"/>
          <w:i w:val="false"/>
          <w:color w:val="000000"/>
          <w:sz w:val="24"/>
        </w:rPr>
        <w:t> </w:t>
      </w:r>
      <w:r>
        <w:rPr>
          <w:rFonts w:ascii="Times New Roman" w:hAnsi="Times New Roman"/>
          <w:b w:val="false"/>
          <w:i/>
          <w:color w:val="000000"/>
          <w:sz w:val="24"/>
        </w:rPr>
        <w:t xml:space="preserve">Annual benefit maximum.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Members 21 years of age or older have an annual benefit maximum of $1,000 per state fiscal year for coverage of dental services set forth in this rule. Payment for services exceeding the $1,000 annual benefit maximum is the responsibility of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following services do not count toward the annual benefit maximum: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Preventive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Diagnostic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Fabrication of removable dentures and related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Anesthesia when provided in conjunction with oral surgery codes approved for payment;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Emergency services.</w:t>
      </w:r>
    </w:p>
    <w:p>
      <w:pPr>
        <w:spacing w:before="0" w:after="0" w:line="480"/>
        <w:ind w:left="120"/>
        <w:jc w:val="both"/>
      </w:pPr>
      <w:r>
        <w:rPr>
          <w:rFonts w:ascii="Times New Roman" w:hAnsi="Times New Roman"/>
          <w:b/>
          <w:i w:val="false"/>
          <w:color w:val="000000"/>
          <w:sz w:val="24"/>
        </w:rPr>
        <w:t>441—78.5</w:t>
      </w:r>
      <w:r>
        <w:rPr>
          <w:rFonts w:ascii="Times New Roman" w:hAnsi="Times New Roman"/>
          <w:b/>
          <w:i w:val="false"/>
          <w:color w:val="000000"/>
          <w:sz w:val="24"/>
        </w:rPr>
        <w:t xml:space="preserve">(249A) </w:t>
      </w:r>
      <w:r>
        <w:rPr>
          <w:rFonts w:ascii="Times New Roman" w:hAnsi="Times New Roman"/>
          <w:b/>
          <w:i w:val="false"/>
          <w:color w:val="000000"/>
          <w:sz w:val="24"/>
        </w:rPr>
        <w:t xml:space="preserve">Podiatrists. </w:t>
      </w:r>
      <w:r>
        <w:rPr>
          <w:rFonts w:ascii="Times New Roman" w:hAnsi="Times New Roman"/>
          <w:b w:val="false"/>
          <w:i w:val="false"/>
          <w:color w:val="000000"/>
          <w:sz w:val="24"/>
        </w:rPr>
        <w:t>Payment will be approved only for certain podiatric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78.5(1)</w:t>
      </w:r>
      <w:r>
        <w:rPr>
          <w:rFonts w:ascii="Times New Roman" w:hAnsi="Times New Roman"/>
          <w:b w:val="false"/>
          <w:i w:val="false"/>
          <w:color w:val="000000"/>
          <w:sz w:val="24"/>
        </w:rPr>
        <w:t> </w:t>
      </w:r>
      <w:r>
        <w:rPr>
          <w:rFonts w:ascii="Times New Roman" w:hAnsi="Times New Roman"/>
          <w:b w:val="false"/>
          <w:i w:val="false"/>
          <w:color w:val="000000"/>
          <w:sz w:val="24"/>
        </w:rPr>
        <w:t>Payment will be approved for the following orthotic appliances and treatment of nail pathologies: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Durable plantar foot orthotic.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Plaster impressions for foot orthotic.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Molded digital orthotic.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Shoe padding when appliances are not practical.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Custom molded space shoes for rheumatoid arthritis, congenital defects and deformities, neurotropic, diabetic and ischemic intractable ulcerations and deformities due to injuries.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Rams horn (hypertrophic) nails.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Onychomycosis (mycotic) nails.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78.5(2)</w:t>
      </w:r>
      <w:r>
        <w:rPr>
          <w:rFonts w:ascii="Times New Roman" w:hAnsi="Times New Roman"/>
          <w:b w:val="false"/>
          <w:i w:val="false"/>
          <w:color w:val="000000"/>
          <w:sz w:val="24"/>
        </w:rPr>
        <w:t> </w:t>
      </w:r>
      <w:r>
        <w:rPr>
          <w:rFonts w:ascii="Times New Roman" w:hAnsi="Times New Roman"/>
          <w:b w:val="false"/>
          <w:i w:val="false"/>
          <w:color w:val="000000"/>
          <w:sz w:val="24"/>
        </w:rPr>
        <w:t>Payment will be made for the same scope of podiatric services available through Part B of Title XVIII (Medicare) except as listed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Treatment of flatfoot. The term “flatfoot” is defined as a condition in which one or more arches have flattened out.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Treatment of subluxations of the foot are defined as partial dislocations or displacements of joint surfaces, tendons, ligaments, or muscles of the foot. Surgical or nonsurgical treatments undertaken for the sole purpose of correcting a subluxated structure in the foot as an isolated entity are not covered. Reasonable and necessary diagnosis of symptomatic conditions that result from or are associated with partial displacement of foot structures is a covered service. Surgical correction in the subluxated foot structure that is an integral part of the treatment of a foot injury or is undertaken to improve the function of the foot or to alleviate an induced or associated symptomatic condition is a covered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Routine foot care. Routine foot care includes the cutting or removal of corns or calluses, the trimming of nails and other hygienic and preventive maintenance care in the realm of self-care such as cleaning and soaking the feet, the use of skin creams to maintain skin tone of both ambulatory and bedfast patients and any services performed in the absence of localized illness, injury, or symptoms involving the foot.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Orthopedic shoes. Payment will not be made for orthopedic shoes or for any device to be worn in or attached to orthopedic shoes or other types of shoes when provided by the podiatrist. Payment will be made to the podiatrist for the examination including tests to establish the need for orthopedic shoes.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78.5(3)</w:t>
      </w:r>
      <w:r>
        <w:rPr>
          <w:rFonts w:ascii="Times New Roman" w:hAnsi="Times New Roman"/>
          <w:b w:val="false"/>
          <w:i w:val="false"/>
          <w:color w:val="000000"/>
          <w:sz w:val="24"/>
        </w:rPr>
        <w:t> </w:t>
      </w:r>
      <w:r>
        <w:rPr>
          <w:rFonts w:ascii="Times New Roman" w:hAnsi="Times New Roman"/>
          <w:b w:val="false"/>
          <w:i w:val="false"/>
          <w:color w:val="000000"/>
          <w:sz w:val="24"/>
        </w:rPr>
        <w:t xml:space="preserve">Prescriptions are required for drugs and supplies as specified in paragraph </w:t>
      </w:r>
      <w:hyperlink r:id="rId70">
        <w:r>
          <w:rPr>
            <w:rStyle w:val="Hyperlink"/>
            <w:rFonts w:ascii="Times New Roman" w:hAnsi="Times New Roman"/>
            <w:b w:val="false"/>
            <w:i w:val="false"/>
            <w:color w:val="000000"/>
            <w:sz w:val="24"/>
          </w:rPr>
          <w:t>78.1(2)</w:t>
        </w:r>
        <w:r>
          <w:rPr>
            <w:rFonts w:ascii="Times New Roman" w:hAnsi="Times New Roman"/>
            <w:b w:val="false"/>
            <w:i/>
            <w:color w:val="000000"/>
            <w:sz w:val="24"/>
          </w:rPr>
          <w:t>“c.”</w:t>
        </w:r>
      </w:hyperlink>
      <w:r>
        <w:rPr>
          <w:rFonts w:ascii="Times New Roman" w:hAnsi="Times New Roman"/>
          <w:b w:val="false"/>
          <w:i w:val="false"/>
          <w:color w:val="000000"/>
          <w:sz w:val="24"/>
        </w:rPr>
        <w:t xml:space="preserve"> Payment will be made for drugs dispensed by a podiatrist only if there is no licensed retail pharmacy in the community where the podiatrist’s office is located. If eligible to dispense drugs, the podiatrist should request a copy of the Prescribed Drugs Manual from Iowa Medicaid. Payment will not be made for writing prescriptions.</w:t>
      </w:r>
    </w:p>
    <w:p>
      <w:pPr>
        <w:spacing w:before="0" w:after="0" w:line="480"/>
        <w:ind w:left="120"/>
        <w:jc w:val="both"/>
      </w:pPr>
      <w:r>
        <w:rPr>
          <w:rFonts w:ascii="Times New Roman" w:hAnsi="Times New Roman"/>
          <w:b/>
          <w:i w:val="false"/>
          <w:color w:val="000000"/>
          <w:sz w:val="24"/>
        </w:rPr>
        <w:t>441—78.6</w:t>
      </w:r>
      <w:r>
        <w:rPr>
          <w:rFonts w:ascii="Times New Roman" w:hAnsi="Times New Roman"/>
          <w:b/>
          <w:i w:val="false"/>
          <w:color w:val="000000"/>
          <w:sz w:val="24"/>
        </w:rPr>
        <w:t xml:space="preserve">(249A) </w:t>
      </w:r>
      <w:r>
        <w:rPr>
          <w:rFonts w:ascii="Times New Roman" w:hAnsi="Times New Roman"/>
          <w:b/>
          <w:i w:val="false"/>
          <w:color w:val="000000"/>
          <w:sz w:val="24"/>
        </w:rPr>
        <w:t xml:space="preserve">Optometrists. </w:t>
      </w:r>
      <w:r>
        <w:rPr>
          <w:rFonts w:ascii="Times New Roman" w:hAnsi="Times New Roman"/>
          <w:b w:val="false"/>
          <w:i w:val="false"/>
          <w:color w:val="000000"/>
          <w:sz w:val="24"/>
        </w:rPr>
        <w:t>Payment will be approved for medically necessary services and supplies provided by the optometrist within the scope of practice of optometry and the limitations of state law, subject to the following limitations and exclusions. Covered optometric services include a professional component and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78.6(1)</w:t>
      </w:r>
      <w:r>
        <w:rPr>
          <w:rFonts w:ascii="Times New Roman" w:hAnsi="Times New Roman"/>
          <w:b w:val="false"/>
          <w:i w:val="false"/>
          <w:color w:val="000000"/>
          <w:sz w:val="24"/>
        </w:rPr>
        <w:t> </w:t>
      </w:r>
      <w:r>
        <w:rPr>
          <w:rFonts w:ascii="Times New Roman" w:hAnsi="Times New Roman"/>
          <w:b w:val="false"/>
          <w:i/>
          <w:color w:val="000000"/>
          <w:sz w:val="24"/>
        </w:rPr>
        <w:t xml:space="preserve">Payable professional services. </w:t>
      </w:r>
      <w:r>
        <w:rPr>
          <w:rFonts w:ascii="Times New Roman" w:hAnsi="Times New Roman"/>
          <w:b w:val="false"/>
          <w:i w:val="false"/>
          <w:color w:val="000000"/>
          <w:sz w:val="24"/>
        </w:rPr>
        <w:t>Payable professional services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Eye examinations. The coverage of eye examinations depends on the purpose of the examination. Services are covered if the examination is the result of a complaint or symptom of an eye disease or injury. Routine eye examinations are covered once in a 12-month period. These services are rendered in the optometrist’s office or clinic, the home, a nursing facility, or other appropriate setting. Payment for mileage will be subject to the same approval and payment criteria as those in effect for Medicare Part B. The following levels of service are recognized for optometric examinations: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Intermediate examination. A level of optometric or ophthalmological services pertaining to medical examination and evaluation, with initiation or continuation of a diagnostic and treatment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Comprehensive examination. A level of optometric or ophthalmological services pertaining to medical examination and evaluation, with initiation or continuation of a diagnostic and treatment program, and a general evaluation of the complete visual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Medical services. Payment will be approved for medically necessary services and supplies within the scope of practice of the optometrist, including services rendered in the optometrist’s office or clinic, the home, a nursing facility, or other appropriate setting. Payment for mileage will be subject to the same approval and payment criteria as those in effect for Medicare Part 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Auxiliary procedures. The following auxiliary procedures and special tests are payable when performed by an optometrist. Auxiliary procedures and special tests are reimbursed as a separate procedure only when warranted by case history or diagnosis.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Serial tonometry. Single tonometry is part of the intermediate and comprehensive exams and is not payable as a separate procedure as is serial tonometry.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Gonioscopy.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Extended ophthalmoscopy. Routine ophthalmoscopy is part of the intermediate and comprehensive examination and is not payable as a separate procedure. Generally, extended ophthalmoscopy is considered to be part of the comprehensive examination and, if performed in conjunction with that level of service, is not payable as a separate procedure.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Visual fields. Gross visual field testing is part of general optometric services and is not reported separately.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External photography.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Fundus photography.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Retinal integrity evaluation with a three-mirror lens.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Single vision and multifocal spectacle lens service, verification and subsequent service. When lenses are necessary, the following enumerated professional and technical optometric services are to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When spectacle lenses are necessary, the following enumerated professional and technical optometric services are to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Ordering of corrective lenses.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Verification of lenses after fabrication.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Adjustment and alignment of completed lens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New spectacle lenses are subject to the following limitations: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Up to three times for children up to one year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Up to four times per year for children one through three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Once every 12 months for children four through seven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Once every 24 months after eight years of age when there is a change in the prescription.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Spectacle lenses made from polycarbonate or equivalent material are allowed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Children through seven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Members with vision in only one eye.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Members with a diagnosis-related illness or disability where regular lenses would pose a safety risk.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Frame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When a new frame is necessary, the following enumerated professional and technical optometric services are to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Selection and styling.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Sizing and measurements.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Fitting and adjustment.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Readjustment and servicing.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New frames are subject to the following limitations: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One frame every six months is allowed for children through three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One frame every 12 months is allowed for children four through seven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When there is a covered lens change and the new lenses cannot be accommodated by the current frame.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Safety frames are allowed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Children through seven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Members with a diagnosis-related disability or illness where regular frames would pose a safety risk or result in frequent breakage.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Repairs or replacement of frames, lenses or component parts. Payment will be made for service in addition to materials. The service fee shall not exceed the dispensing fee for a replacement frame. Payment will be made for replacement of glasses when the original glasses have been lost or damaged beyond repair. Replacement of lost or damaged glasses is limited to one pair of frames and two lenses once every 12 months for adults aged 21 and over, except for people with a mental or physical disability.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Contact lenses. Payment will be made for documented keratoconus, aphakia, high myopia, anisometropia, trauma, severe ocular surface disease, irregular astigmatism, for treatment of acute or chronic eye disease, or when the member’s vision cannot be adequately corrected with spectacle lenses. Contact lenses are subject to the following limitations: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Up to 16 gas permeable contact lenses are allowed for children up to one year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Up to eight gas permeable contact lenses are allowed every 12 months for children one through three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Up to six gas permeable contact lenses are allowed every 12 months for children four through seven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Two gas permeable contact lenses are allowed every 24 months for members eight years of age or 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Soft contact lenses and replacements are allowed when medically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78.6(2)</w:t>
      </w:r>
      <w:r>
        <w:rPr>
          <w:rFonts w:ascii="Times New Roman" w:hAnsi="Times New Roman"/>
          <w:b w:val="false"/>
          <w:i w:val="false"/>
          <w:color w:val="000000"/>
          <w:sz w:val="24"/>
        </w:rPr>
        <w:t> </w:t>
      </w:r>
      <w:r>
        <w:rPr>
          <w:rFonts w:ascii="Times New Roman" w:hAnsi="Times New Roman"/>
          <w:b w:val="false"/>
          <w:i/>
          <w:color w:val="000000"/>
          <w:sz w:val="24"/>
        </w:rPr>
        <w:t xml:space="preserve">Ophthalmic materials. </w:t>
      </w:r>
      <w:r>
        <w:rPr>
          <w:rFonts w:ascii="Times New Roman" w:hAnsi="Times New Roman"/>
          <w:b w:val="false"/>
          <w:i w:val="false"/>
          <w:color w:val="000000"/>
          <w:sz w:val="24"/>
        </w:rPr>
        <w:t>Ophthalmic materials that are provided in connection with any of the foregoing professional optometric services shall provide adequate vision as determined by the optometrist and meet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Corrected curve lenses, unless clinically contraindicated.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Standard plastic, plastic and metal combination, or metal frames.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Prescription standards according to the American National Standards Institute (ANSI) standards and tolerance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78.6(3)</w:t>
      </w:r>
      <w:r>
        <w:rPr>
          <w:rFonts w:ascii="Times New Roman" w:hAnsi="Times New Roman"/>
          <w:b w:val="false"/>
          <w:i w:val="false"/>
          <w:color w:val="000000"/>
          <w:sz w:val="24"/>
        </w:rPr>
        <w:t> </w:t>
      </w:r>
      <w:r>
        <w:rPr>
          <w:rFonts w:ascii="Times New Roman" w:hAnsi="Times New Roman"/>
          <w:b w:val="false"/>
          <w:i/>
          <w:color w:val="000000"/>
          <w:sz w:val="24"/>
        </w:rPr>
        <w:t xml:space="preserve">Reimbursement. </w:t>
      </w:r>
      <w:r>
        <w:rPr>
          <w:rFonts w:ascii="Times New Roman" w:hAnsi="Times New Roman"/>
          <w:b w:val="false"/>
          <w:i w:val="false"/>
          <w:color w:val="000000"/>
          <w:sz w:val="24"/>
        </w:rPr>
        <w:t>The reimbursement for allowed ophthalmic material is subject to a fee schedule established by the department or to actual laboratory cost as evidenced by an attached invoice. Reimbursement for rose tint is included in the fee for the lenses.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Materials payable by fee schedule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Spectacle lenses, single vision and multifocal.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Frames.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Case for glasses.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Materials payable at actual laboratory cost as evidenced by an attached invoice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Contact lenses.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Schroeder shield.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Ptosis crutch.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Safety frames.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Subnormal visual aids.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Photochromatic lenses.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78.6(4)</w:t>
      </w:r>
      <w:r>
        <w:rPr>
          <w:rFonts w:ascii="Times New Roman" w:hAnsi="Times New Roman"/>
          <w:b w:val="false"/>
          <w:i w:val="false"/>
          <w:color w:val="000000"/>
          <w:sz w:val="24"/>
        </w:rPr>
        <w:t> </w:t>
      </w:r>
      <w:r>
        <w:rPr>
          <w:rFonts w:ascii="Times New Roman" w:hAnsi="Times New Roman"/>
          <w:b w:val="false"/>
          <w:i/>
          <w:color w:val="000000"/>
          <w:sz w:val="24"/>
        </w:rPr>
        <w:t xml:space="preserve">Prior authorization. </w:t>
      </w:r>
      <w:r>
        <w:rPr>
          <w:rFonts w:ascii="Times New Roman" w:hAnsi="Times New Roman"/>
          <w:b w:val="false"/>
          <w:i w:val="false"/>
          <w:color w:val="000000"/>
          <w:sz w:val="24"/>
        </w:rPr>
        <w:t>Prior authorization is required for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second lens correction within a 24-month period for members eight years of age and older. Approval will be given when the member’s vision has at least a five-tenths diopter of change in sphere or cylinder or ten-degree change in axis in either eye.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Visual therapy may be authorized when warranted by case history or diagnosis for a period of time not greater than 90 days. Should continued therapy be warranted, the prior approval process will be reaccomplished, accompanied by a report showing satisfactory progress. Approved diagnoses are convergence insufficiency and amblyopia. Visual therapy is not covered when provided by opticians.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Subnormal visual aids where near visual acuity is at or better than 20/100 at 16 inches, 2M print. Prior authorization is not required if near visual acuity as described above is less than 20/100. Subnormal visual aids include but are not limited to hand magnifiers, loupes, telescopic spectacles, or reverse Galilean telescope systems. Payment will be actual laboratory cost as evidenced by an attached invoice.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Approval for photochromatic tint will be given when the member has a documented medical condition that causes photosensitivity and less costly alternatives are inadequate.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Approval for press-on prisms will be granted for members whose vision cannot be adequately corrected with other covered prisms.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78.6(5)</w:t>
      </w:r>
      <w:r>
        <w:rPr>
          <w:rFonts w:ascii="Times New Roman" w:hAnsi="Times New Roman"/>
          <w:b w:val="false"/>
          <w:i w:val="false"/>
          <w:color w:val="000000"/>
          <w:sz w:val="24"/>
        </w:rPr>
        <w:t> </w:t>
      </w:r>
      <w:r>
        <w:rPr>
          <w:rFonts w:ascii="Times New Roman" w:hAnsi="Times New Roman"/>
          <w:b w:val="false"/>
          <w:i/>
          <w:color w:val="000000"/>
          <w:sz w:val="24"/>
        </w:rPr>
        <w:t xml:space="preserve">Noncovered services. </w:t>
      </w:r>
      <w:r>
        <w:rPr>
          <w:rFonts w:ascii="Times New Roman" w:hAnsi="Times New Roman"/>
          <w:b w:val="false"/>
          <w:i w:val="false"/>
          <w:color w:val="000000"/>
          <w:sz w:val="24"/>
        </w:rPr>
        <w:t>Noncovered services include but are not limited to the following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Glasses with cosmetic gradient tint lenses or other eyewear for cosmetic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Glasses for occupational eye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second pair of glasses or spare glasses.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Cosmetic surgery and experimental medical and surgical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Sunglasses.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Progressive bifocal or trifocal lenses.</w:t>
      </w:r>
    </w:p>
    <w:p>
      <w:pPr>
        <w:spacing w:before="210" w:after="0" w:line="480"/>
        <w:ind w:left="120"/>
        <w:jc w:val="both"/>
      </w:pPr>
      <w:r>
        <w:rPr>
          <w:rFonts w:ascii="Times New Roman" w:hAnsi="Times New Roman"/>
          <w:b/>
          <w:i w:val="false"/>
          <w:color w:val="000000"/>
          <w:sz w:val="24"/>
        </w:rPr>
        <w:t>441—78.7</w:t>
      </w:r>
      <w:r>
        <w:rPr>
          <w:rFonts w:ascii="Times New Roman" w:hAnsi="Times New Roman"/>
          <w:b/>
          <w:i w:val="false"/>
          <w:color w:val="000000"/>
          <w:sz w:val="24"/>
        </w:rPr>
        <w:t xml:space="preserve">(249A) </w:t>
      </w:r>
      <w:r>
        <w:rPr>
          <w:rFonts w:ascii="Times New Roman" w:hAnsi="Times New Roman"/>
          <w:b/>
          <w:i w:val="false"/>
          <w:color w:val="000000"/>
          <w:sz w:val="24"/>
        </w:rPr>
        <w:t xml:space="preserve">Opticians. </w:t>
      </w:r>
      <w:r>
        <w:rPr>
          <w:rFonts w:ascii="Times New Roman" w:hAnsi="Times New Roman"/>
          <w:b w:val="false"/>
          <w:i w:val="false"/>
          <w:color w:val="000000"/>
          <w:sz w:val="24"/>
        </w:rPr>
        <w:t xml:space="preserve">Payment will be approved only for certain services and supplies provided by opticians when prescribed by a physician (MD or DO) or an optometrist. Payment and procedure for obtaining services and supplies are the same as described in rule </w:t>
      </w:r>
      <w:hyperlink r:id="rId71">
        <w:r>
          <w:rPr>
            <w:rStyle w:val="Hyperlink"/>
            <w:rFonts w:ascii="Times New Roman" w:hAnsi="Times New Roman"/>
            <w:b w:val="false"/>
            <w:i w:val="false"/>
            <w:color w:val="000000"/>
            <w:sz w:val="24"/>
          </w:rPr>
          <w:t>441—78.6</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i w:val="false"/>
          <w:color w:val="000000"/>
          <w:sz w:val="24"/>
        </w:rPr>
        <w:t>441—78.8</w:t>
      </w:r>
      <w:r>
        <w:rPr>
          <w:rFonts w:ascii="Times New Roman" w:hAnsi="Times New Roman"/>
          <w:b/>
          <w:i w:val="false"/>
          <w:color w:val="000000"/>
          <w:sz w:val="24"/>
        </w:rPr>
        <w:t xml:space="preserve">(249A) </w:t>
      </w:r>
      <w:r>
        <w:rPr>
          <w:rFonts w:ascii="Times New Roman" w:hAnsi="Times New Roman"/>
          <w:b/>
          <w:i w:val="false"/>
          <w:color w:val="000000"/>
          <w:sz w:val="24"/>
        </w:rPr>
        <w:t xml:space="preserve">Chiropractors. </w:t>
      </w:r>
      <w:r>
        <w:rPr>
          <w:rFonts w:ascii="Times New Roman" w:hAnsi="Times New Roman"/>
          <w:b w:val="false"/>
          <w:i w:val="false"/>
          <w:color w:val="000000"/>
          <w:sz w:val="24"/>
        </w:rPr>
        <w:t xml:space="preserve">Payment will be made for the same chiropractic procedures payable under </w:t>
      </w:r>
      <w:r>
        <w:rPr>
          <w:rFonts w:ascii="Times New Roman" w:hAnsi="Times New Roman"/>
          <w:b w:val="false"/>
          <w:i w:val="false"/>
          <w:color w:val="000000"/>
          <w:sz w:val="24"/>
        </w:rPr>
        <w:t>Title XVIII of the Social Security Act</w:t>
      </w:r>
      <w:r>
        <w:rPr>
          <w:rFonts w:ascii="Times New Roman" w:hAnsi="Times New Roman"/>
          <w:b w:val="false"/>
          <w:i w:val="false"/>
          <w:color w:val="000000"/>
          <w:sz w:val="24"/>
        </w:rPr>
        <w:t xml:space="preserve"> (Medicare).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78.8(1)</w:t>
      </w:r>
      <w:r>
        <w:rPr>
          <w:rFonts w:ascii="Times New Roman" w:hAnsi="Times New Roman"/>
          <w:b w:val="false"/>
          <w:i w:val="false"/>
          <w:color w:val="000000"/>
          <w:sz w:val="24"/>
        </w:rPr>
        <w:t> </w:t>
      </w:r>
      <w:r>
        <w:rPr>
          <w:rFonts w:ascii="Times New Roman" w:hAnsi="Times New Roman"/>
          <w:b w:val="false"/>
          <w:i/>
          <w:color w:val="000000"/>
          <w:sz w:val="24"/>
        </w:rPr>
        <w:t xml:space="preserve">Covered services. </w:t>
      </w:r>
      <w:r>
        <w:rPr>
          <w:rFonts w:ascii="Times New Roman" w:hAnsi="Times New Roman"/>
          <w:b w:val="false"/>
          <w:i w:val="false"/>
          <w:color w:val="000000"/>
          <w:sz w:val="24"/>
        </w:rPr>
        <w:t>Chiropractic manipulative therapy (CMT) eligible for reimbursement is specifically limited by Medicaid to the manual manipulation (i.e., by use of the hands) of the spine for the purpose of correcting a subluxation demonstrated by X-ray. Subluxation means an incomplete dislocation, off-centering, misalignment, fixation, or abnormal spacing of the vertebrae.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78.8(2)</w:t>
      </w:r>
      <w:r>
        <w:rPr>
          <w:rFonts w:ascii="Times New Roman" w:hAnsi="Times New Roman"/>
          <w:b w:val="false"/>
          <w:i w:val="false"/>
          <w:color w:val="000000"/>
          <w:sz w:val="24"/>
        </w:rPr>
        <w:t> </w:t>
      </w:r>
      <w:r>
        <w:rPr>
          <w:rFonts w:ascii="Times New Roman" w:hAnsi="Times New Roman"/>
          <w:b w:val="false"/>
          <w:i/>
          <w:color w:val="000000"/>
          <w:sz w:val="24"/>
        </w:rPr>
        <w:t xml:space="preserve">Indications and limitations of coverage.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subluxation must have resulted in a neuromusculoskeletal condition for which CMT is appropriate treatment. The symptoms must be directly related to the subluxation that has been diagnosed. The mere statement or diagnosis of “pain” is not sufficient to support the medical necessity of CMT. CMT must have a direct therapeutic relationship to the patient’s condition. No other diagnostic or therapeutic service furnished by a chiropractor is covered under the Medicaid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neuromusculoskeletal conditions listed on the department’s website indicate whether the conditions require short-, moderate-, or long-term CMT. If the CMT utilization guidelines are exceeded, documentation supporting the medical necessity of additional CMT must be submitted with the Medicaid claim form or the claim will be denied for failure to provide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CMT is not a covered benefit when: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maximum therapeutic benefit has been achieved for a given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There is not a reasonable expectation that the continuation of CMT would result in improvement of the patient’s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CMT seeks to prevent disease, promote health and prolong and enhance the quality of life.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78.8(3)</w:t>
      </w:r>
      <w:r>
        <w:rPr>
          <w:rFonts w:ascii="Times New Roman" w:hAnsi="Times New Roman"/>
          <w:b w:val="false"/>
          <w:i w:val="false"/>
          <w:color w:val="000000"/>
          <w:sz w:val="24"/>
        </w:rPr>
        <w:t> </w:t>
      </w:r>
      <w:r>
        <w:rPr>
          <w:rFonts w:ascii="Times New Roman" w:hAnsi="Times New Roman"/>
          <w:b w:val="false"/>
          <w:i/>
          <w:color w:val="000000"/>
          <w:sz w:val="24"/>
        </w:rPr>
        <w:t xml:space="preserve">Documenting X-ray. </w:t>
      </w:r>
      <w:r>
        <w:rPr>
          <w:rFonts w:ascii="Times New Roman" w:hAnsi="Times New Roman"/>
          <w:b w:val="false"/>
          <w:i w:val="false"/>
          <w:color w:val="000000"/>
          <w:sz w:val="24"/>
        </w:rPr>
        <w:t>An X-ray must document the primary regions of subluxation being treated by CMT.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documenting X-ray must be taken at a time reasonably proximate to the initiation of CMT. An X-ray is considered to be reasonably proximate if it was taken no more than 12 months prior to or 3 months following the initiation of CMT. X-rays need not be repeated unless there is a new condition and no payment will be made for subsequent X-rays, absent a new condition, consistent with paragraph </w:t>
      </w:r>
      <w:hyperlink r:id="rId72">
        <w:r>
          <w:rPr>
            <w:rStyle w:val="Hyperlink"/>
            <w:rFonts w:ascii="Times New Roman" w:hAnsi="Times New Roman"/>
            <w:b w:val="false"/>
            <w:i w:val="false"/>
            <w:color w:val="000000"/>
            <w:sz w:val="24"/>
          </w:rPr>
          <w:t>78.8(3)</w:t>
        </w:r>
      </w:hyperlink>
      <w:r>
        <w:rPr>
          <w:rFonts w:ascii="Times New Roman" w:hAnsi="Times New Roman"/>
          <w:b w:val="false"/>
          <w:i/>
          <w:color w:val="000000"/>
          <w:sz w:val="24"/>
        </w:rPr>
        <w:t>“c.”</w:t>
      </w:r>
      <w:r>
        <w:rPr>
          <w:rFonts w:ascii="Times New Roman" w:hAnsi="Times New Roman"/>
          <w:b w:val="false"/>
          <w:i w:val="false"/>
          <w:color w:val="000000"/>
          <w:sz w:val="24"/>
        </w:rPr>
        <w:t xml:space="preserve"> No X-ray is required for pregnant women and for children aged 18 and under.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X-ray films shall be labeled with the patient’s name and date the X-rays were taken and shall be marked right or left. The X-ray shall be made available to the department or its duly authorized representative when requested. A written and dated X-ray report, including interpretation and diagnosis, shall be present in the patient’s clinical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Chiropractors will be reimbursed for documenting X-rays at the physician fee schedule rate. Payable X-rays will be limited to those Current Procedural Terminology (CPT) procedure codes that are appropriate to determine the presence of a subluxation of the spine. Consistent with CPT, chiropractors may bill the professional, technical, or professional and technical components for X-rays, as appropriate. Payment for documenting X-rays will be further limited to one per condition, consistent with the provisions of paragraph </w:t>
      </w:r>
      <w:hyperlink r:id="rId73">
        <w:r>
          <w:rPr>
            <w:rStyle w:val="Hyperlink"/>
            <w:rFonts w:ascii="Times New Roman" w:hAnsi="Times New Roman"/>
            <w:b w:val="false"/>
            <w:i w:val="false"/>
            <w:color w:val="000000"/>
            <w:sz w:val="24"/>
          </w:rPr>
          <w:t>78.8(3)</w:t>
        </w:r>
      </w:hyperlink>
      <w:r>
        <w:rPr>
          <w:rFonts w:ascii="Times New Roman" w:hAnsi="Times New Roman"/>
          <w:b w:val="false"/>
          <w:i/>
          <w:color w:val="000000"/>
          <w:sz w:val="24"/>
        </w:rPr>
        <w:t>“a.”</w:t>
      </w:r>
      <w:r>
        <w:rPr>
          <w:rFonts w:ascii="Times New Roman" w:hAnsi="Times New Roman"/>
          <w:b w:val="false"/>
          <w:i w:val="false"/>
          <w:color w:val="000000"/>
          <w:sz w:val="24"/>
        </w:rPr>
        <w:t xml:space="preserve"> A claim for a documenting X-ray related to the onset of a new condition is only payable if the X-ray is reasonably proximate to the initiation of CMT for the new condition, as defined in paragraph </w:t>
      </w:r>
      <w:hyperlink r:id="rId74">
        <w:r>
          <w:rPr>
            <w:rStyle w:val="Hyperlink"/>
            <w:rFonts w:ascii="Times New Roman" w:hAnsi="Times New Roman"/>
            <w:b w:val="false"/>
            <w:i w:val="false"/>
            <w:color w:val="000000"/>
            <w:sz w:val="24"/>
          </w:rPr>
          <w:t>78.8(3)</w:t>
        </w:r>
      </w:hyperlink>
      <w:r>
        <w:rPr>
          <w:rFonts w:ascii="Times New Roman" w:hAnsi="Times New Roman"/>
          <w:b w:val="false"/>
          <w:i/>
          <w:color w:val="000000"/>
          <w:sz w:val="24"/>
        </w:rPr>
        <w:t>“a.”</w:t>
      </w:r>
      <w:r>
        <w:rPr>
          <w:rFonts w:ascii="Times New Roman" w:hAnsi="Times New Roman"/>
          <w:b w:val="false"/>
          <w:i w:val="false"/>
          <w:color w:val="000000"/>
          <w:sz w:val="24"/>
        </w:rPr>
        <w:t xml:space="preserve"> A chiropractor is also authorized to order a documenting X-ray whether or not the chiropractor owns or possesses X-ray equipment in the chiropractor’s office. Any X-rays so ordered will be payable to the X-ray provider, consistent with the provisions in this paragraph.</w:t>
      </w:r>
    </w:p>
    <w:p>
      <w:pPr>
        <w:spacing w:before="0" w:after="0" w:line="480"/>
        <w:ind w:left="120"/>
        <w:jc w:val="both"/>
      </w:pPr>
      <w:r>
        <w:rPr>
          <w:rFonts w:ascii="Times New Roman" w:hAnsi="Times New Roman"/>
          <w:b/>
          <w:i w:val="false"/>
          <w:color w:val="000000"/>
          <w:sz w:val="24"/>
        </w:rPr>
        <w:t>441—78.9</w:t>
      </w:r>
      <w:r>
        <w:rPr>
          <w:rFonts w:ascii="Times New Roman" w:hAnsi="Times New Roman"/>
          <w:b/>
          <w:i w:val="false"/>
          <w:color w:val="000000"/>
          <w:sz w:val="24"/>
        </w:rPr>
        <w:t xml:space="preserve">(249A) </w:t>
      </w:r>
      <w:r>
        <w:rPr>
          <w:rFonts w:ascii="Times New Roman" w:hAnsi="Times New Roman"/>
          <w:b/>
          <w:i w:val="false"/>
          <w:color w:val="000000"/>
          <w:sz w:val="24"/>
        </w:rPr>
        <w:t xml:space="preserve">Home health agencies. </w:t>
      </w:r>
      <w:r>
        <w:rPr>
          <w:rFonts w:ascii="Times New Roman" w:hAnsi="Times New Roman"/>
          <w:b w:val="false"/>
          <w:i w:val="false"/>
          <w:color w:val="000000"/>
          <w:sz w:val="24"/>
        </w:rPr>
        <w:t>Payment will be approved for medically necessary home health agency services prescribed by a physician, nurse practitioner, clinical nurse specialist, or PA in a plan of home health care provided by a Medicare-certified home health agency.</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The number of hours of home health agency services shall be reasonable and appropriate to meet an established medical need of the member that cannot be met by a family member, significant other, friend, or neighbor. Services must be medically necessary in the individual case and be related to a diagnosed medical impairment or disability.</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 xml:space="preserve">The member need not be homebound to be eligible for home health agency services; however, the services provided by a home health agency will only be covered when provided in the member’s residence with the following exception. Private duty nursing and personal care services for persons aged 20 and under as described at paragraph </w:t>
      </w:r>
      <w:hyperlink r:id="rId75">
        <w:r>
          <w:rPr>
            <w:rStyle w:val="Hyperlink"/>
            <w:rFonts w:ascii="Times New Roman" w:hAnsi="Times New Roman"/>
            <w:b w:val="false"/>
            <w:i w:val="false"/>
            <w:color w:val="000000"/>
            <w:sz w:val="24"/>
          </w:rPr>
          <w:t>78.9(10)</w:t>
        </w:r>
        <w:r>
          <w:rPr>
            <w:rFonts w:ascii="Times New Roman" w:hAnsi="Times New Roman"/>
            <w:b w:val="false"/>
            <w:i/>
            <w:color w:val="000000"/>
            <w:sz w:val="24"/>
          </w:rPr>
          <w:t>“a”</w:t>
        </w:r>
      </w:hyperlink>
      <w:r>
        <w:rPr>
          <w:rFonts w:ascii="Times New Roman" w:hAnsi="Times New Roman"/>
          <w:b w:val="false"/>
          <w:i w:val="false"/>
          <w:color w:val="000000"/>
          <w:sz w:val="24"/>
        </w:rPr>
        <w:t xml:space="preserve"> may be provided in settings other than the member’s residence when medically necessary.</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Medicaid members of home health agency services need not first require skilled nursing care to be entitled to home health aide services.</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 xml:space="preserve">Further limitations related to specific components of home health agency services are noted in subrules </w:t>
      </w:r>
      <w:hyperlink r:id="rId76">
        <w:r>
          <w:rPr>
            <w:rStyle w:val="Hyperlink"/>
            <w:rFonts w:ascii="Times New Roman" w:hAnsi="Times New Roman"/>
            <w:b w:val="false"/>
            <w:i w:val="false"/>
            <w:color w:val="000000"/>
            <w:sz w:val="24"/>
          </w:rPr>
          <w:t>78.9(3)</w:t>
        </w:r>
      </w:hyperlink>
      <w:r>
        <w:rPr>
          <w:rFonts w:ascii="Times New Roman" w:hAnsi="Times New Roman"/>
          <w:b w:val="false"/>
          <w:i w:val="false"/>
          <w:color w:val="000000"/>
          <w:sz w:val="24"/>
        </w:rPr>
        <w:t xml:space="preserve"> through </w:t>
      </w:r>
      <w:hyperlink r:id="rId77">
        <w:r>
          <w:rPr>
            <w:rStyle w:val="Hyperlink"/>
            <w:rFonts w:ascii="Times New Roman" w:hAnsi="Times New Roman"/>
            <w:b w:val="false"/>
            <w:i w:val="false"/>
            <w:color w:val="000000"/>
            <w:sz w:val="24"/>
          </w:rPr>
          <w:t>78.9(10)</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Payment will be made on an encounter basis. An encounter is defined as separately identifiable hours in which home health agency staff provide continuous service to a member.</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Dressings, durable medical equipment, and other supplies shall be obtained from a durable medical equipment dealer or pharmacy.</w:t>
      </w:r>
    </w:p>
    <w:p>
      <w:pPr>
        <w:spacing w:before="0" w:after="0" w:line="480"/>
        <w:ind w:left="120"/>
        <w:jc w:val="both"/>
      </w:pPr>
      <w:r>
        <w:rPr>
          <w:rFonts w:ascii="Times New Roman" w:hAnsi="Times New Roman"/>
          <w:b w:val="false"/>
          <w:i w:val="false"/>
          <w:color w:val="000000"/>
          <w:sz w:val="24"/>
        </w:rPr>
        <w:t>    7.   </w:t>
      </w:r>
      <w:r>
        <w:rPr>
          <w:rFonts w:ascii="Times New Roman" w:hAnsi="Times New Roman"/>
          <w:b w:val="false"/>
          <w:i w:val="false"/>
          <w:color w:val="000000"/>
          <w:sz w:val="24"/>
        </w:rPr>
        <w:t>Payment may be made for restorative and maintenance home health agency services.</w:t>
      </w:r>
    </w:p>
    <w:p>
      <w:pPr>
        <w:spacing w:before="0" w:after="0" w:line="480"/>
        <w:ind w:left="120"/>
        <w:jc w:val="both"/>
      </w:pPr>
      <w:r>
        <w:rPr>
          <w:rFonts w:ascii="Times New Roman" w:hAnsi="Times New Roman"/>
          <w:b w:val="false"/>
          <w:i w:val="false"/>
          <w:color w:val="000000"/>
          <w:sz w:val="24"/>
        </w:rPr>
        <w:t>    8.   </w:t>
      </w:r>
      <w:r>
        <w:rPr>
          <w:rFonts w:ascii="Times New Roman" w:hAnsi="Times New Roman"/>
          <w:b w:val="false"/>
          <w:i w:val="false"/>
          <w:color w:val="000000"/>
          <w:sz w:val="24"/>
        </w:rPr>
        <w:t>Payment may be made for teaching, training, and counseling in the provision of health care services.</w:t>
      </w:r>
    </w:p>
    <w:p>
      <w:pPr>
        <w:spacing w:before="0" w:after="0" w:line="480"/>
        <w:ind w:left="120"/>
        <w:jc w:val="both"/>
      </w:pPr>
      <w:r>
        <w:rPr>
          <w:rFonts w:ascii="Times New Roman" w:hAnsi="Times New Roman"/>
          <w:b w:val="false"/>
          <w:i w:val="false"/>
          <w:color w:val="000000"/>
          <w:sz w:val="24"/>
        </w:rPr>
        <w:t>    9.   </w:t>
      </w:r>
      <w:r>
        <w:rPr>
          <w:rFonts w:ascii="Times New Roman" w:hAnsi="Times New Roman"/>
          <w:b w:val="false"/>
          <w:i w:val="false"/>
          <w:color w:val="000000"/>
          <w:sz w:val="24"/>
        </w:rPr>
        <w:t>Treatment plans for these services shall additionally reflect: to whom the services are to be provided (patient, family member, etc.); prior teaching training, or counseling provided; medical necessity for the rendered service; identification of specific services and goals; date of onset of the teaching, training, or counseling; frequency of services; progress of member in response to treatment; and estimated length of time these services will be needed.</w:t>
      </w:r>
    </w:p>
    <w:p>
      <w:pPr>
        <w:spacing w:before="0" w:after="0" w:line="480"/>
        <w:ind w:left="120"/>
        <w:jc w:val="both"/>
      </w:pPr>
      <w:r>
        <w:rPr>
          <w:rFonts w:ascii="Times New Roman" w:hAnsi="Times New Roman"/>
          <w:b w:val="false"/>
          <w:i w:val="false"/>
          <w:color w:val="000000"/>
          <w:sz w:val="24"/>
        </w:rPr>
        <w:t>    10.   </w:t>
      </w:r>
      <w:r>
        <w:rPr>
          <w:rFonts w:ascii="Times New Roman" w:hAnsi="Times New Roman"/>
          <w:b w:val="false"/>
          <w:i w:val="false"/>
          <w:color w:val="000000"/>
          <w:sz w:val="24"/>
        </w:rPr>
        <w:t>The following are not covered: services provided in the home health agency office, homemaker services, well child care and supervision, and medical equipment rental or purchase.</w:t>
      </w:r>
    </w:p>
    <w:p>
      <w:pPr>
        <w:spacing w:before="0" w:after="0" w:line="480"/>
        <w:ind w:left="120"/>
        <w:jc w:val="both"/>
      </w:pPr>
      <w:r>
        <w:rPr>
          <w:rFonts w:ascii="Times New Roman" w:hAnsi="Times New Roman"/>
          <w:b w:val="false"/>
          <w:i w:val="false"/>
          <w:color w:val="000000"/>
          <w:sz w:val="24"/>
        </w:rPr>
        <w:t>    11.   </w:t>
      </w:r>
      <w:r>
        <w:rPr>
          <w:rFonts w:ascii="Times New Roman" w:hAnsi="Times New Roman"/>
          <w:b w:val="false"/>
          <w:i w:val="false"/>
          <w:color w:val="000000"/>
          <w:sz w:val="24"/>
        </w:rPr>
        <w:t>Services shall be authorized by a physician, nurse practitioner, clinical nurse specialist, or PA, evidenced by the physician’s, nurse practitioner’s, clinical nurse specialist’s, or PA’s signature and date on a plan of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78.9(1)</w:t>
      </w:r>
      <w:r>
        <w:rPr>
          <w:rFonts w:ascii="Times New Roman" w:hAnsi="Times New Roman"/>
          <w:b w:val="false"/>
          <w:i w:val="false"/>
          <w:color w:val="000000"/>
          <w:sz w:val="24"/>
        </w:rPr>
        <w:t> </w:t>
      </w:r>
      <w:r>
        <w:rPr>
          <w:rFonts w:ascii="Times New Roman" w:hAnsi="Times New Roman"/>
          <w:b w:val="false"/>
          <w:i/>
          <w:color w:val="000000"/>
          <w:sz w:val="24"/>
        </w:rPr>
        <w:t xml:space="preserve">Treatment plan. </w:t>
      </w:r>
      <w:r>
        <w:rPr>
          <w:rFonts w:ascii="Times New Roman" w:hAnsi="Times New Roman"/>
          <w:b w:val="false"/>
          <w:i w:val="false"/>
          <w:color w:val="000000"/>
          <w:sz w:val="24"/>
        </w:rPr>
        <w:t>A plan of treatment shall be completed prior to the start of care and at a minimum reviewed every 60 days thereafter. There must be a face-to-face encounter between a physician, a nurse practitioner, a clinical nurse specialist, a certified nurse-midwife, or a PA and the Medicaid member no more than 90 days before or 30 days after the start of service. The plan of care shall support the medical necessity and intensity of services to be provided by reflecting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Place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Type of service to be rendered and the treatment modalities being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Frequency of the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Assistance devices to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Date home health services were initiated.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Progress of member in response to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Medical supplies to be furnished.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Member’s medical condition as reflected by the following information,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Dates of prior hospitalization.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Dates of prior surgery.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Date last seen by a physician, nurse practitioner, clinical nurse specialist, or PA.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Diagnoses and dates of onset of diagnoses for which treatment is being rendered.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Prognosis.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Functional limitations.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Vital signs reading.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Date of last episode of instability.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Date of last episode of acute recurrence of illness or symptoms.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Medications.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Discipline of the person providing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Certification period (no more than 60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Estimated date of discharge from the hospital or home health agency services,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Physician’s, nurse practitioner’s, clinical nurse specialist’s, or PA’s signature and date. The plan of care must be signed and dated by the physician, nurse practitioner, clinical nurse specialist, or PA before the claim for service is submitted for reimbursement.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78.9(2)</w:t>
      </w:r>
      <w:r>
        <w:rPr>
          <w:rFonts w:ascii="Times New Roman" w:hAnsi="Times New Roman"/>
          <w:b w:val="false"/>
          <w:i w:val="false"/>
          <w:color w:val="000000"/>
          <w:sz w:val="24"/>
        </w:rPr>
        <w:t> </w:t>
      </w:r>
      <w:r>
        <w:rPr>
          <w:rFonts w:ascii="Times New Roman" w:hAnsi="Times New Roman"/>
          <w:b w:val="false"/>
          <w:i/>
          <w:color w:val="000000"/>
          <w:sz w:val="24"/>
        </w:rPr>
        <w:t xml:space="preserve">Supervisory visits. </w:t>
      </w:r>
      <w:r>
        <w:rPr>
          <w:rFonts w:ascii="Times New Roman" w:hAnsi="Times New Roman"/>
          <w:b w:val="false"/>
          <w:i w:val="false"/>
          <w:color w:val="000000"/>
          <w:sz w:val="24"/>
        </w:rPr>
        <w:t xml:space="preserve">Payment will be made for supervisory visits two times a month when a registered nurse acting in a supervisory capacity provides supervisory visits of services provided by a home health aide under a home health agency plan of treatment or when services are provided by an in-home health care provider under the department’s in-home health-related care program as set forth in </w:t>
      </w:r>
      <w:hyperlink r:id="rId78">
        <w:r>
          <w:rPr>
            <w:rStyle w:val="Hyperlink"/>
            <w:rFonts w:ascii="Times New Roman" w:hAnsi="Times New Roman"/>
            <w:b w:val="false"/>
            <w:i w:val="false"/>
            <w:color w:val="000000"/>
            <w:sz w:val="24"/>
          </w:rPr>
          <w:t>441—Chapter 177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78.9(3)</w:t>
      </w:r>
      <w:r>
        <w:rPr>
          <w:rFonts w:ascii="Times New Roman" w:hAnsi="Times New Roman"/>
          <w:b w:val="false"/>
          <w:i w:val="false"/>
          <w:color w:val="000000"/>
          <w:sz w:val="24"/>
        </w:rPr>
        <w:t> </w:t>
      </w:r>
      <w:r>
        <w:rPr>
          <w:rFonts w:ascii="Times New Roman" w:hAnsi="Times New Roman"/>
          <w:b w:val="false"/>
          <w:i/>
          <w:color w:val="000000"/>
          <w:sz w:val="24"/>
        </w:rPr>
        <w:t xml:space="preserve">Skilled nursing services. </w:t>
      </w:r>
      <w:r>
        <w:rPr>
          <w:rFonts w:ascii="Times New Roman" w:hAnsi="Times New Roman"/>
          <w:b w:val="false"/>
          <w:i w:val="false"/>
          <w:color w:val="000000"/>
          <w:sz w:val="24"/>
        </w:rPr>
        <w:t>Skilled nursing services are services that when performed by a home health agency require a licensed registered nurse or licensed practical nurse to perform. Situations when a service can be safely performed by the member or other nonskilled person who has received the proper training or instruction or when there is no one else to perform the service are not considered a “skilled nursing service.” Skilled nursing services shall be available only on an intermittent basis. Intermittent services for skilled nursing services are defined as a medically predictable recurring need requiring a skilled nursing service at least once every 60 days, not to exceed five days per week (except as provided below), with an attempt to have a predictable end. Daily visits (six or seven days per week) that are reasonable and necessary and show an attempt to have a predictable end will be covered for up to three weeks. Coverage of additional daily visits beyond the initial anticipated time frame may be appropriate for a short period of time, based on the medical necessity of service. Medical documentation shall be submitted justifying the need for continued visits, including the physician’s, nurse practitioner’s, clinical nurse specialist’s, or PA’s estimate of the length of time that additional visits will be necessary. Daily skilled nursing visits or multiple daily visits for wound care or insulin injections will be covered when ordered by a physician, nurse practitioner, clinical nurse specialist, or a PA and included in the plan of care. Other daily skilled nursing visits that are ordered for an indefinite period of time and designated as daily skilled nursing care do not meet the intermittent definition and will be denied.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Skilled nursing services will be evaluated based on the complexity of the service and the condition of the patient.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Private duty nursing for persons aged 21 and over is not a covered service. See subrule </w:t>
      </w:r>
      <w:hyperlink r:id="rId79">
        <w:r>
          <w:rPr>
            <w:rStyle w:val="Hyperlink"/>
            <w:rFonts w:ascii="Times New Roman" w:hAnsi="Times New Roman"/>
            <w:b w:val="false"/>
            <w:i w:val="false"/>
            <w:color w:val="000000"/>
            <w:sz w:val="24"/>
          </w:rPr>
          <w:t>78.9(10)</w:t>
        </w:r>
      </w:hyperlink>
      <w:r>
        <w:rPr>
          <w:rFonts w:ascii="Times New Roman" w:hAnsi="Times New Roman"/>
          <w:b w:val="false"/>
          <w:i w:val="false"/>
          <w:color w:val="000000"/>
          <w:sz w:val="24"/>
        </w:rPr>
        <w:t xml:space="preserve"> for guidelines for private duty nursing for persons aged 20 or under.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78.9(4)</w:t>
      </w:r>
      <w:r>
        <w:rPr>
          <w:rFonts w:ascii="Times New Roman" w:hAnsi="Times New Roman"/>
          <w:b w:val="false"/>
          <w:i w:val="false"/>
          <w:color w:val="000000"/>
          <w:sz w:val="24"/>
        </w:rPr>
        <w:t> </w:t>
      </w:r>
      <w:r>
        <w:rPr>
          <w:rFonts w:ascii="Times New Roman" w:hAnsi="Times New Roman"/>
          <w:b w:val="false"/>
          <w:i/>
          <w:color w:val="000000"/>
          <w:sz w:val="24"/>
        </w:rPr>
        <w:t xml:space="preserve">Physical therapy services. </w:t>
      </w:r>
      <w:r>
        <w:rPr>
          <w:rFonts w:ascii="Times New Roman" w:hAnsi="Times New Roman"/>
          <w:b w:val="false"/>
          <w:i w:val="false"/>
          <w:color w:val="000000"/>
          <w:sz w:val="24"/>
        </w:rPr>
        <w:t xml:space="preserve">Payment will be made for physical therapy services when the services relate directly to an active written treatment plan, follow a treatment plan established by the physician, nurse practitioner, clinical nurse specialist, or PA after any needed consultation with the qualified physical therapist, are reasonable and necessary to the treatment of the patient’s illness or injury, and meet the guidelines defined for restorative, maintenance, or trial therapy as set forth in paragraphs </w:t>
      </w:r>
      <w:hyperlink r:id="rId80">
        <w:r>
          <w:rPr>
            <w:rStyle w:val="Hyperlink"/>
            <w:rFonts w:ascii="Times New Roman" w:hAnsi="Times New Roman"/>
            <w:b w:val="false"/>
            <w:i w:val="false"/>
            <w:color w:val="000000"/>
            <w:sz w:val="24"/>
          </w:rPr>
          <w:t>78.19(1)</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For physical therapy services, the treatment plan shall additionally reflect goals, modalities of treatment, date of onset of conditions being treated, restorative potential, and progress notes.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78.9(5)</w:t>
      </w:r>
      <w:r>
        <w:rPr>
          <w:rFonts w:ascii="Times New Roman" w:hAnsi="Times New Roman"/>
          <w:b w:val="false"/>
          <w:i w:val="false"/>
          <w:color w:val="000000"/>
          <w:sz w:val="24"/>
        </w:rPr>
        <w:t> </w:t>
      </w:r>
      <w:r>
        <w:rPr>
          <w:rFonts w:ascii="Times New Roman" w:hAnsi="Times New Roman"/>
          <w:b w:val="false"/>
          <w:i/>
          <w:color w:val="000000"/>
          <w:sz w:val="24"/>
        </w:rPr>
        <w:t xml:space="preserve">Occupational therapy services. </w:t>
      </w:r>
      <w:r>
        <w:rPr>
          <w:rFonts w:ascii="Times New Roman" w:hAnsi="Times New Roman"/>
          <w:b w:val="false"/>
          <w:i w:val="false"/>
          <w:color w:val="000000"/>
          <w:sz w:val="24"/>
        </w:rPr>
        <w:t xml:space="preserve">Payment will be made for occupational therapy services when the services relate directly to an active written treatment plan, follow a treatment plan established by the physician, nurse practitioner, clinical nurse specialist, or PA, are reasonable and necessary to the treatment of the patient’s illness or injury, and meet the guidelines defined for restorative, maintenance, or trial therapy as set forth in paragraphs </w:t>
      </w:r>
      <w:hyperlink r:id="rId81">
        <w:r>
          <w:rPr>
            <w:rStyle w:val="Hyperlink"/>
            <w:rFonts w:ascii="Times New Roman" w:hAnsi="Times New Roman"/>
            <w:b w:val="false"/>
            <w:i w:val="false"/>
            <w:color w:val="000000"/>
            <w:sz w:val="24"/>
          </w:rPr>
          <w:t>78.19(1)</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For occupational therapy services, the treatment plan shall additionally reflect goals, modalities of treatment, date of onset of conditions being treated, restorative potential, and progress notes.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78.9(6)</w:t>
      </w:r>
      <w:r>
        <w:rPr>
          <w:rFonts w:ascii="Times New Roman" w:hAnsi="Times New Roman"/>
          <w:b w:val="false"/>
          <w:i w:val="false"/>
          <w:color w:val="000000"/>
          <w:sz w:val="24"/>
        </w:rPr>
        <w:t> </w:t>
      </w:r>
      <w:r>
        <w:rPr>
          <w:rFonts w:ascii="Times New Roman" w:hAnsi="Times New Roman"/>
          <w:b w:val="false"/>
          <w:i/>
          <w:color w:val="000000"/>
          <w:sz w:val="24"/>
        </w:rPr>
        <w:t xml:space="preserve">Speech therapy services. </w:t>
      </w:r>
      <w:r>
        <w:rPr>
          <w:rFonts w:ascii="Times New Roman" w:hAnsi="Times New Roman"/>
          <w:b w:val="false"/>
          <w:i w:val="false"/>
          <w:color w:val="000000"/>
          <w:sz w:val="24"/>
        </w:rPr>
        <w:t xml:space="preserve">Payment will be made for speech therapy services when the services relate directly to an active written treatment plan, follow a treatment plan established by the physician, nurse practitioner, clinical nurse specialist, or PA, are reasonable and necessary to the treatment of the patient’s illness or injury, and meet the guidelines defined for restorative, maintenance, or trial therapy as set forth in paragraphs </w:t>
      </w:r>
      <w:hyperlink r:id="rId82">
        <w:r>
          <w:rPr>
            <w:rStyle w:val="Hyperlink"/>
            <w:rFonts w:ascii="Times New Roman" w:hAnsi="Times New Roman"/>
            <w:b w:val="false"/>
            <w:i w:val="false"/>
            <w:color w:val="000000"/>
            <w:sz w:val="24"/>
          </w:rPr>
          <w:t>78.19(1)</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For speech therapy services, the treatment plan shall additionally reflect goals, modalities of treatment, date of onset of conditions being treated, restorative potential, and progress notes.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78.9(7)</w:t>
      </w:r>
      <w:r>
        <w:rPr>
          <w:rFonts w:ascii="Times New Roman" w:hAnsi="Times New Roman"/>
          <w:b w:val="false"/>
          <w:i w:val="false"/>
          <w:color w:val="000000"/>
          <w:sz w:val="24"/>
        </w:rPr>
        <w:t> </w:t>
      </w:r>
      <w:r>
        <w:rPr>
          <w:rFonts w:ascii="Times New Roman" w:hAnsi="Times New Roman"/>
          <w:b w:val="false"/>
          <w:i/>
          <w:color w:val="000000"/>
          <w:sz w:val="24"/>
        </w:rPr>
        <w:t xml:space="preserve">Home health aide services. </w:t>
      </w:r>
      <w:r>
        <w:rPr>
          <w:rFonts w:ascii="Times New Roman" w:hAnsi="Times New Roman"/>
          <w:b w:val="false"/>
          <w:i w:val="false"/>
          <w:color w:val="000000"/>
          <w:sz w:val="24"/>
        </w:rPr>
        <w:t>Payment will be made for unskilled services provided by a home health aide if the following conditions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service as well as the frequency and duration are stated in a written plan of treatment established by a physician, nurse practitioner, clinical nurse specialist, or PA. The home health agency is encouraged to collaborate with the member, or in the case of a child with the child’s caregiver, in the development and implementation of the plan of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member requires personal care services as determined by a registered nurse or other appropriate therapist. The services shall be given under the supervision of a registered nurse, physical, speech, or occupational therapist and the registered nurse or therapist shall assign the aide who will provide the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Services shall be provided on an intermittent basis. “Intermittent basis” for home health agency services is defined as services that are usually two to three times a week for two to three hours at a time. Services provided for four to seven days per week, not to exceed 28 hours per week, when ordered by a physician, nurse practitioner, clinical nurse specialist, or PA and included in a plan of care will be allowed as intermittent services. Increased services provided when medically necessary due to unusual circumstances on a short-term basis of two to three weeks may also be allowed as intermittent services when the home health agency documents the need for the excessive time required for home health aide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Home health aide daily care may be provided for persons employed or attending school whose disabling conditions require the persons to be assisted with morning and evening activities of daily living in order to support their independent living.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Personal care services include the activities of daily living, e.g., helping the member to bathe, get in and out of bed, care for hair and teeth, exercise, and take medications specifically ordered by the physician, but ordinarily self-administered, and retraining the member in necessary self-help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Certain household services may be performed by the aide in order to prevent or postpone the member’s institutionalization when the primary need of the member for home health aide services furnished is for personal care. If household services are incidental and do not substantially increase the time spent by the aide in the home, the entire visit is considered a covered service. Domestic or housekeeping services that are not related to patient care are not a covered service if personal care is not rendered during the visit.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For home health aide services, the treatment plan shall additionally reflect the number of hours per visit and the living arrangement of the member, e.g., lives alone or with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78.9(8)</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78.9(9)</w:t>
      </w:r>
      <w:r>
        <w:rPr>
          <w:rFonts w:ascii="Times New Roman" w:hAnsi="Times New Roman"/>
          <w:b w:val="false"/>
          <w:i w:val="false"/>
          <w:color w:val="000000"/>
          <w:sz w:val="24"/>
        </w:rPr>
        <w:t> </w:t>
      </w:r>
      <w:r>
        <w:rPr>
          <w:rFonts w:ascii="Times New Roman" w:hAnsi="Times New Roman"/>
          <w:b w:val="false"/>
          <w:i/>
          <w:color w:val="000000"/>
          <w:sz w:val="24"/>
        </w:rPr>
        <w:t xml:space="preserve">Home health agency care for maternity patients and children. </w:t>
      </w:r>
      <w:r>
        <w:rPr>
          <w:rFonts w:ascii="Times New Roman" w:hAnsi="Times New Roman"/>
          <w:b w:val="false"/>
          <w:i w:val="false"/>
          <w:color w:val="000000"/>
          <w:sz w:val="24"/>
        </w:rPr>
        <w:t>The intent of home health agency services for maternity patients and children is to provide services when the members are unable to receive the care outside of their home and require home health care due to a high-risk factor. Routine prenatal, postpartum, or child health care is a covered service in a physician’s office or clinic and, therefore, is not covered by Medicaid when provided by a home health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Treatment plans for maternity patients and children shall identify: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potential risk factors,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medical factor or symptom that verifies the child is at risk,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reason the member is unable to obtain care outside of the home,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medically related task of the home health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member’s diagnosis,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Specific services and goals,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medical necessity for the services to be rendered. A single high-risk factor does not provide sufficient documentation of the need for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following list of potential high-risk factors may indicate a need for home health services to prenatal maternity patients: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Aged 16 or under.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First pregnancy for a woman aged 35 or over.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Previous history of prenatal complications such as fetal death, eclampsia, C-section delivery, psychosis, or diabetes.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Current prenatal problems such as hypertensive disorders of pregnancy, diabetes, cardiac disease, sickle cell anemia, low hemoglobin, mental illness, or drug or alcohol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Sociocultural or ethnic problems such as language barriers, lack of family support, insufficient dietary practices, history of child abuse or neglect, or single mother.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Preexisting disabilities such as sensory deficits, or mental or physical disabilities.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Second pregnancy in 12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Death of a close family member or significant other within the previous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following list of potential high-risk factors may indicate a need for home health services to postpartum maternity patients: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Aged 16 or under.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First pregnancy for a woman aged 35 or over.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Major postpartum complications such as severe hemorrhage, eclampsia, or C-section delivery.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Preexisting mental or physical disabilities such as deaf, hard of hearing, blind, hemiplegic, activity-limiting disease, sickle cell anemia, uncontrolled hypertension, uncontrolled diabetes, mental illness, or intellectual disability.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Drug or alcohol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Symptoms of postpartum psychosis.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Special sociocultural or ethnic problems such as lack of job, family problems, single mother, lack of support system, or history of child abuse or neglect.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Demonstrated disturbance in maternal and infant bonding.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Discharge or release from hospital against medical advice before 36 hours postpartum.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Insufficient antepartum care by history.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Multiple births.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Nonhospital delivery.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following list of potential high-risk factors may indicate a need for home health services to infants: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Birth weight of five pounds or under or over ten pounds.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History of severe respiratory distress.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Major congenital anomalies such as neonatal complications which necessitate planning for long-term follow-up such as postsurgical care, poor prognosis, home stimulation activities, or periodic development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Disabling birth injuries.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Extended hospitalization and separation from other family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Genetic disorders, such as Down syndrome, and phenylketonuria or other metabolic conditions that may lead to intellectual disability.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Noted parental rejection or indifference toward baby such as never visiting or calling the hospital about the baby’s condition during the infant’s extended stay.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Family sociocultural or ethnic problems such as low education level or lack of knowledge of child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Discharge or release against medical advice before 36 hours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Nutrition or feeding problems.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following list of potential high-risk factors may indicate a need for home health services to preschool or school-age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Child or sibling victim of child abuse or neglect.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Intellectual disability or other physical disabilities necessitating long-term follow-up or major readjustments in family lifestyle.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Failure to complete the basic series of immunizations by 18 months, or boosters by 6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Chronic illness such as asthma, cardiac, respiratory or renal disease, diabetes, cystic fibrosis, or muscular dystrophy.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Malignancies such as leukemia or carcinoma.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Severe injuries necessitating treatment or rehabilitation.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Disruption in family or peer relationships.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Suspected developmental delay.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Nutritional deficiencies.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78.9(10)</w:t>
      </w:r>
      <w:r>
        <w:rPr>
          <w:rFonts w:ascii="Times New Roman" w:hAnsi="Times New Roman"/>
          <w:b w:val="false"/>
          <w:i w:val="false"/>
          <w:color w:val="000000"/>
          <w:sz w:val="24"/>
        </w:rPr>
        <w:t> </w:t>
      </w:r>
      <w:r>
        <w:rPr>
          <w:rFonts w:ascii="Times New Roman" w:hAnsi="Times New Roman"/>
          <w:b w:val="false"/>
          <w:i/>
          <w:color w:val="000000"/>
          <w:sz w:val="24"/>
        </w:rPr>
        <w:t xml:space="preserve">Private duty nursing or personal care services for persons aged 20 and under. </w:t>
      </w:r>
      <w:r>
        <w:rPr>
          <w:rFonts w:ascii="Times New Roman" w:hAnsi="Times New Roman"/>
          <w:b w:val="false"/>
          <w:i w:val="false"/>
          <w:color w:val="000000"/>
          <w:sz w:val="24"/>
        </w:rPr>
        <w:t>Payment for private duty nursing or personal care services for persons aged 20 and under will be approved if determined to be medically necessary. Payment will be made on an hourly unit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Definitions.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Private duty nursing services are those services that are provided by a registered nurse or a licensed practical nurse under the direction of the member’s physician to a member in the member’s place of residence or outside the member’s residence, when normal life activities take the member outside the place of residence. Place of residence does not include nursing facilities, ICFs/ID, or hospitals.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Services shall be provided according to a written plan of care authorized by a licensed physician. The home health agency is encouraged to collaborate with the member, or in the case of a child with the child’s caregiver, in the development and implementation of the plan of treatment. These services shall exceed intermittent guidelines as defined in subrule </w:t>
      </w:r>
      <w:hyperlink r:id="rId83">
        <w:r>
          <w:rPr>
            <w:rStyle w:val="Hyperlink"/>
            <w:rFonts w:ascii="Times New Roman" w:hAnsi="Times New Roman"/>
            <w:b w:val="false"/>
            <w:i w:val="false"/>
            <w:color w:val="000000"/>
            <w:sz w:val="24"/>
          </w:rPr>
          <w:t>78.9(3)</w:t>
        </w:r>
      </w:hyperlink>
      <w:r>
        <w:rPr>
          <w:rFonts w:ascii="Times New Roman" w:hAnsi="Times New Roman"/>
          <w:b w:val="false"/>
          <w:i w:val="false"/>
          <w:color w:val="000000"/>
          <w:sz w:val="24"/>
        </w:rPr>
        <w:t>. Private duty nursing and personal care services shall be inclusive of all home health agency services personally provided to the member. Enhanced payment under the interim fee schedule will be made available for services to children who are technology dependent, i.e., ventilator dependent or whose medical condition is so unstable as to otherwise require intensive care in a hospital.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Private duty nursing or personal care services do not include: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Respite care, which is a temporary intermission or period of rest for the caregiver.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Nurse supervision services including chart review, case discussion or scheduling by a registered nurse.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Services provided to other persons in the member’s household.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Services requiring prior authorization that are provided without regard to the prior authorization process.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Transportation services.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Homework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Personal care services are those services provided by a home health aide or certified nurse’s aide and which are delegated and supervised by a registered nurse under the direction of the member’s physician to a member in the member’s place of residence or outside the member’s residence, when normal life activities take the member outside the place of residence. Place of residence does not include nursing facilities, ICFs/ID, or hospitals. Payment for personal care services for persons aged 20 and under that exceed intermittent guidelines may be approved if determined to be medically necessary as defined in subrule </w:t>
      </w:r>
      <w:hyperlink r:id="rId84">
        <w:r>
          <w:rPr>
            <w:rStyle w:val="Hyperlink"/>
            <w:rFonts w:ascii="Times New Roman" w:hAnsi="Times New Roman"/>
            <w:b w:val="false"/>
            <w:i w:val="false"/>
            <w:color w:val="000000"/>
            <w:sz w:val="24"/>
          </w:rPr>
          <w:t>78.9(7)</w:t>
        </w:r>
      </w:hyperlink>
      <w:r>
        <w:rPr>
          <w:rFonts w:ascii="Times New Roman" w:hAnsi="Times New Roman"/>
          <w:b w:val="false"/>
          <w:i w:val="false"/>
          <w:color w:val="000000"/>
          <w:sz w:val="24"/>
        </w:rPr>
        <w:t>. These services shall be in accordance with the member’s plan of care and authorized by a physician. The home health agency is encouraged to collaborate with the member, or in the case of a child with the child’s caregiver, in the development and implementation of the plan of treatment.</w:t>
      </w:r>
    </w:p>
    <w:p>
      <w:pPr>
        <w:spacing w:before="0" w:after="0" w:line="480"/>
        <w:ind w:left="120"/>
        <w:jc w:val="both"/>
      </w:pPr>
      <w:r>
        <w:rPr>
          <w:rFonts w:ascii="Times New Roman" w:hAnsi="Times New Roman"/>
          <w:b w:val="false"/>
          <w:i w:val="false"/>
          <w:color w:val="000000"/>
          <w:sz w:val="24"/>
        </w:rPr>
        <w:t>Medical necessity means the service is reasonably calculated to prevent, diagnose, correct, cure, alleviate or prevent the worsening of conditions that endanger life, cause pain, result in illness or infirmity, threaten to cause or aggravate a disability or chronic illness, and no other equally effective course of treatment is available or suitable for the member requesting a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Private duty nursing or personal care services shall be ordered in writing by a physician as evidenced by the physician’s signature on the plan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Private duty nursing or personal care services will be authorized by the department or the department’s designated review agent prior to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Prior authorization shall be requested at the time of initial submission of the plan of care or at any time the plan of care is substantially amended and shall be renewed with the department or the department’s designated review agent. Initial request for and request for renewal of prior authorization shall be submitted to the department’s designated review agent. The provider of the service is responsible for requesting prior authorization and for obtaining renewal of prior authorization.</w:t>
      </w:r>
    </w:p>
    <w:p>
      <w:pPr>
        <w:spacing w:before="0" w:after="0" w:line="480"/>
        <w:ind w:left="120"/>
        <w:jc w:val="both"/>
      </w:pPr>
      <w:r>
        <w:rPr>
          <w:rFonts w:ascii="Times New Roman" w:hAnsi="Times New Roman"/>
          <w:b w:val="false"/>
          <w:i w:val="false"/>
          <w:color w:val="000000"/>
          <w:sz w:val="24"/>
        </w:rPr>
        <w:t>The request for prior authorization shall include a nursing assessment, the plan of care, and supporting documentation. The request for prior authorization shall include all items previously identified as required treatment plan information and shall further include: any planned surgical interventions and projected time frame; information regarding caregiver’s desire to become involved in the member’s care, to adhere to program objectives, to work toward treatment plan goals, and to work toward maximum independence; and identify the types and service delivery levels of all other services to the member whether or not the services are reimbursable by Medicaid. Providers shall indicate the expected number of private duty nursing RN hours, private duty nursing LPN hours, or home health aide hours per day, the number of days per week, and the number of weeks or months of service per discipline. If the member is currently hospitalized, the projected date of discharge shall be included.</w:t>
      </w:r>
    </w:p>
    <w:p>
      <w:pPr>
        <w:spacing w:before="0" w:after="0" w:line="480"/>
        <w:ind w:left="120"/>
        <w:jc w:val="both"/>
      </w:pPr>
      <w:r>
        <w:rPr>
          <w:rFonts w:ascii="Times New Roman" w:hAnsi="Times New Roman"/>
          <w:b w:val="false"/>
          <w:i w:val="false"/>
          <w:color w:val="000000"/>
          <w:sz w:val="24"/>
        </w:rPr>
        <w:t>Prior authorization approvals will not be granted for treatment plans that exceed 16 hours of home health agency services per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78.9(11)</w:t>
      </w:r>
      <w:r>
        <w:rPr>
          <w:rFonts w:ascii="Times New Roman" w:hAnsi="Times New Roman"/>
          <w:b w:val="false"/>
          <w:i w:val="false"/>
          <w:color w:val="000000"/>
          <w:sz w:val="24"/>
        </w:rPr>
        <w:t> </w:t>
      </w:r>
      <w:r>
        <w:rPr>
          <w:rFonts w:ascii="Times New Roman" w:hAnsi="Times New Roman"/>
          <w:b w:val="false"/>
          <w:i/>
          <w:color w:val="000000"/>
          <w:sz w:val="24"/>
        </w:rPr>
        <w:t xml:space="preserve">Vaccines. </w:t>
      </w:r>
      <w:r>
        <w:rPr>
          <w:rFonts w:ascii="Times New Roman" w:hAnsi="Times New Roman"/>
          <w:b w:val="false"/>
          <w:i w:val="false"/>
          <w:color w:val="000000"/>
          <w:sz w:val="24"/>
        </w:rPr>
        <w:t>In order to be paid for the administration of a vaccine covered under the VFC program, a home health agency must enroll in the VFC program. Payment for the vaccine will be approved only if the VFC program stock has been depleted.</w:t>
      </w:r>
    </w:p>
    <w:p>
      <w:pPr>
        <w:spacing w:before="0" w:after="0" w:line="480"/>
        <w:ind w:left="120"/>
        <w:jc w:val="both"/>
      </w:pPr>
      <w:r>
        <w:rPr>
          <w:rFonts w:ascii="Times New Roman" w:hAnsi="Times New Roman"/>
          <w:b/>
          <w:i w:val="false"/>
          <w:color w:val="000000"/>
          <w:sz w:val="24"/>
        </w:rPr>
        <w:t>441—78.10</w:t>
      </w:r>
      <w:r>
        <w:rPr>
          <w:rFonts w:ascii="Times New Roman" w:hAnsi="Times New Roman"/>
          <w:b/>
          <w:i w:val="false"/>
          <w:color w:val="000000"/>
          <w:sz w:val="24"/>
        </w:rPr>
        <w:t xml:space="preserve">(249A) </w:t>
      </w:r>
      <w:r>
        <w:rPr>
          <w:rFonts w:ascii="Times New Roman" w:hAnsi="Times New Roman"/>
          <w:b/>
          <w:i w:val="false"/>
          <w:color w:val="000000"/>
          <w:sz w:val="24"/>
        </w:rPr>
        <w:t xml:space="preserve">Durable medical equipment (DME), prosthetic devices and medical supplies.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78.10(1)</w:t>
      </w:r>
      <w:r>
        <w:rPr>
          <w:rFonts w:ascii="Times New Roman" w:hAnsi="Times New Roman"/>
          <w:b w:val="false"/>
          <w:i w:val="false"/>
          <w:color w:val="000000"/>
          <w:sz w:val="24"/>
        </w:rPr>
        <w:t> </w:t>
      </w:r>
      <w:r>
        <w:rPr>
          <w:rFonts w:ascii="Times New Roman" w:hAnsi="Times New Roman"/>
          <w:b w:val="false"/>
          <w:i/>
          <w:color w:val="000000"/>
          <w:sz w:val="24"/>
        </w:rPr>
        <w:t xml:space="preserve">General payment requirements. </w:t>
      </w:r>
      <w:r>
        <w:rPr>
          <w:rFonts w:ascii="Times New Roman" w:hAnsi="Times New Roman"/>
          <w:b w:val="false"/>
          <w:i w:val="false"/>
          <w:color w:val="000000"/>
          <w:sz w:val="24"/>
        </w:rPr>
        <w:t xml:space="preserve">Payment will be made for items of DME, prosthetic devices and medical supplies, subject to the following general requirements and the requirements of subrule </w:t>
      </w:r>
      <w:hyperlink r:id="rId85">
        <w:r>
          <w:rPr>
            <w:rStyle w:val="Hyperlink"/>
            <w:rFonts w:ascii="Times New Roman" w:hAnsi="Times New Roman"/>
            <w:b w:val="false"/>
            <w:i w:val="false"/>
            <w:color w:val="000000"/>
            <w:sz w:val="24"/>
          </w:rPr>
          <w:t>78.10(2)</w:t>
        </w:r>
      </w:hyperlink>
      <w:r>
        <w:rPr>
          <w:rFonts w:ascii="Times New Roman" w:hAnsi="Times New Roman"/>
          <w:b w:val="false"/>
          <w:i w:val="false"/>
          <w:color w:val="000000"/>
          <w:sz w:val="24"/>
        </w:rPr>
        <w:t xml:space="preserve">, </w:t>
      </w:r>
      <w:hyperlink r:id="rId86">
        <w:r>
          <w:rPr>
            <w:rStyle w:val="Hyperlink"/>
            <w:rFonts w:ascii="Times New Roman" w:hAnsi="Times New Roman"/>
            <w:b w:val="false"/>
            <w:i w:val="false"/>
            <w:color w:val="000000"/>
            <w:sz w:val="24"/>
          </w:rPr>
          <w:t>78.10(3)</w:t>
        </w:r>
      </w:hyperlink>
      <w:r>
        <w:rPr>
          <w:rFonts w:ascii="Times New Roman" w:hAnsi="Times New Roman"/>
          <w:b w:val="false"/>
          <w:i w:val="false"/>
          <w:color w:val="000000"/>
          <w:sz w:val="24"/>
        </w:rPr>
        <w:t xml:space="preserve">, or </w:t>
      </w:r>
      <w:hyperlink r:id="rId87">
        <w:r>
          <w:rPr>
            <w:rStyle w:val="Hyperlink"/>
            <w:rFonts w:ascii="Times New Roman" w:hAnsi="Times New Roman"/>
            <w:b w:val="false"/>
            <w:i w:val="false"/>
            <w:color w:val="000000"/>
            <w:sz w:val="24"/>
          </w:rPr>
          <w:t>78.10(4)</w:t>
        </w:r>
      </w:hyperlink>
      <w:r>
        <w:rPr>
          <w:rFonts w:ascii="Times New Roman" w:hAnsi="Times New Roman"/>
          <w:b w:val="false"/>
          <w:i w:val="false"/>
          <w:color w:val="000000"/>
          <w:sz w:val="24"/>
        </w:rPr>
        <w:t>,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DME, prosthetic devices, and medical supplies must be required by the member because of the member’s medical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item shall be necessary and reasonable either for the treatment of an illness or injury, or to improve the functioning of a malformed body part. Determination will be made by Iowa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item is necessary when it can be expected to make a meaningful contribution to the treatment of a specific illness or injury or to the improvement in function of a malformed body part.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Although an item may be necessary, it must also be a reasonable expenditure for the Medicaid program. The following considerations enter into the determination of reasonableness: Whether the expense of the item to the program would be clearly disproportionate to the therapeutic benefits which could ordinarily be derived from use of the item; whether the item would be substantially more costly than a medically appropriate and realistically feasible alternative pattern of care; and whether the item serves essentially the same purpose as an item already available to the beneficiary.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physician’s (doctor of medicine, osteopathy, or podiatry), PA’s, or ARNP’s prescription is required to establish medical necessity. The prescription shall state the member’s name, diagnosis, prognosis, item(s) to be dispensed, quantity, and length of time the item is to be required and shall include the signature of the prescriber and the date of signature.</w:t>
      </w:r>
    </w:p>
    <w:p>
      <w:pPr>
        <w:spacing w:before="0" w:after="0" w:line="480"/>
        <w:ind w:left="120"/>
        <w:jc w:val="both"/>
      </w:pPr>
      <w:r>
        <w:rPr>
          <w:rFonts w:ascii="Times New Roman" w:hAnsi="Times New Roman"/>
          <w:b w:val="false"/>
          <w:i w:val="false"/>
          <w:color w:val="000000"/>
          <w:sz w:val="24"/>
        </w:rPr>
        <w:t xml:space="preserve">For items requiring prior authorization, a request shall include a physician’s, PA’s, or ARNP’s written order or prescription and sufficient medical documentation to permit an independent conclusion that the requirements for the equipment or device are met and the item is medically necessary and reasonable. A request for prior authorization is made using an Outpatient Prior Authorization Request form. See rule </w:t>
      </w:r>
      <w:hyperlink r:id="rId88">
        <w:r>
          <w:rPr>
            <w:rStyle w:val="Hyperlink"/>
            <w:rFonts w:ascii="Times New Roman" w:hAnsi="Times New Roman"/>
            <w:b w:val="false"/>
            <w:i w:val="false"/>
            <w:color w:val="000000"/>
            <w:sz w:val="24"/>
          </w:rPr>
          <w:t>441—78.28</w:t>
        </w:r>
      </w:hyperlink>
      <w:r>
        <w:rPr>
          <w:rFonts w:ascii="Times New Roman" w:hAnsi="Times New Roman"/>
          <w:b w:val="false"/>
          <w:i w:val="false"/>
          <w:color w:val="000000"/>
          <w:sz w:val="24"/>
        </w:rPr>
        <w:t>(249A) for prior authorization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Nonmedical items will not be covered. These include but are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Physical fitness equipment, e.g., an exercycle, weights.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First-aid or precautionary-type equipment, e.g., preset portable oxygen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Self-help devices, e.g., safety grab bars, raised toilet seats.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Training equipment, e.g., speech teaching machines, braille training texts.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Equipment used for environmental control or to enhance the environmental setting, e.g., room heaters, air conditioners, humidifiers, dehumidifiers, and electric air cleaners.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Equipment that basically serves comfort or convenience functions or is primarily for the convenience of a person caring for the member, e.g., elevators, stairway elevators and posture chairs.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amount payable is based on the least expensive item that meets the member’s medical needs. Payment will not be approved for items that serve duplicate functions. </w:t>
      </w:r>
      <w:r>
        <w:rPr>
          <w:rFonts w:ascii="Times New Roman" w:hAnsi="Times New Roman"/>
          <w:b w:val="false"/>
          <w:i w:val="false"/>
          <w:color w:val="000000"/>
          <w:sz w:val="24"/>
        </w:rPr>
        <w:t>EXCEPTION</w:t>
      </w:r>
      <w:r>
        <w:rPr>
          <w:rFonts w:ascii="Times New Roman" w:hAnsi="Times New Roman"/>
          <w:b w:val="false"/>
          <w:i w:val="false"/>
          <w:color w:val="000000"/>
          <w:sz w:val="24"/>
        </w:rPr>
        <w:t>: A second ventilator, with approved medical necessity.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Consideration will be given to rental or purchase based on the price of the item and the length of time it would be required. The decision on rental or purchase will be made by Iowa Medicaid and be based on the most reasonable method to provide the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provider shall monitor rental payments up to 100 percent of the purchase price. At the point that total rent paid equals 100 percent of the purchase allowance, the member will be considered to own the item and no further rental payments will be made to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Payment may be made for the purchase of an item even though rental payments may have been made for prior months. The rental of the equipment may be necessary for a period of time to establish that it will meet the identified need before the purchase of the equipment. When a decision is made to purchase after renting an item, all rental payments will be applied to the purchase allowance.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EXCEPTION</w:t>
      </w:r>
      <w:r>
        <w:rPr>
          <w:rFonts w:ascii="Times New Roman" w:hAnsi="Times New Roman"/>
          <w:b w:val="false"/>
          <w:i w:val="false"/>
          <w:color w:val="000000"/>
          <w:sz w:val="24"/>
        </w:rPr>
        <w:t>: Ventilators and oxygen systems shall be maintained on a rental basis for the duration of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deposit shall not be charged by a provider to a Medicaid member or any other person on behalf of a Medicaid member for rental of medical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Payment may be made for necessary repair, maintenance, and supplies for member-owned equipment. No payment may be made for repairs, maintenance, or supplies when the member is renting the item.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Replacement of member-owned equipment is covered in cases of loss or irreparable damage or when required because of a change in the member’s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No allowance will be made for delivery, freight, postage, or other provider operating expenses for DME, prosthetic devices or medical supplies.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 xml:space="preserve">Reimbursement over the established fee schedule amount is allowed when prior authorization has been obtained. See </w:t>
      </w:r>
      <w:hyperlink r:id="rId89">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 xml:space="preserve"> for prior authorization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78.10(2)</w:t>
      </w:r>
      <w:r>
        <w:rPr>
          <w:rFonts w:ascii="Times New Roman" w:hAnsi="Times New Roman"/>
          <w:b w:val="false"/>
          <w:i w:val="false"/>
          <w:color w:val="000000"/>
          <w:sz w:val="24"/>
        </w:rPr>
        <w:t> </w:t>
      </w:r>
      <w:r>
        <w:rPr>
          <w:rFonts w:ascii="Times New Roman" w:hAnsi="Times New Roman"/>
          <w:b w:val="false"/>
          <w:i/>
          <w:color w:val="000000"/>
          <w:sz w:val="24"/>
        </w:rPr>
        <w:t xml:space="preserve">Durable medical equipment. </w:t>
      </w:r>
      <w:r>
        <w:rPr>
          <w:rFonts w:ascii="Times New Roman" w:hAnsi="Times New Roman"/>
          <w:b w:val="false"/>
          <w:i w:val="false"/>
          <w:color w:val="000000"/>
          <w:sz w:val="24"/>
        </w:rPr>
        <w:t>DME is equipment that can withstand repeated use, is primarily and customarily used to serve a medical purpose, is generally not useful to a person in the absence of an illness or injury, and is appropriate for use in the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DME in a hospital, nursing facility, or ICF/ID is not separately payable.</w:t>
      </w:r>
    </w:p>
    <w:p>
      <w:pPr>
        <w:spacing w:before="0" w:after="0" w:line="480"/>
        <w:ind w:left="120"/>
        <w:jc w:val="both"/>
      </w:pPr>
      <w:r>
        <w:rPr>
          <w:rFonts w:ascii="Times New Roman" w:hAnsi="Times New Roman"/>
          <w:b w:val="false"/>
          <w:i w:val="false"/>
          <w:color w:val="000000"/>
          <w:sz w:val="24"/>
        </w:rPr>
        <w:t>EXCEPTIONS</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Oxygen services in a nursing facility or an ICF/ID when all of the following requirements and conditions have been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Medical documentation or a reasonable facsimile is completed by a physician, PA, or ARNP and qualifies the member in accordance with Medicare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Additional documentation shows that the member requires oxygen for 12 hours or more per day for at least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Oxygen logs must be maintained by the provider. The time between any reading shall not exceed more than 45 days. The documentation maintained in the provider record must contain the following:</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initial, periodic and ending reading on the time meter clock on each oxygen system, and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dates of each initial, periodic and ending reading, and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Evidence of ongoing need for oxygen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maximum Medicaid payment will be based on the least costly method of oxygen delivery.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Oxygen prescribed “PRN” or “as necessary” is not payable.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Medicaid payment will be made for the rental of equipment only. All accessories and disposable supplies related to the oxygen delivery system and costs for servicing and repair of equipment are included in the Medicaid payment and shall not be separately payable.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is not allowed for oxygen services that are not documented according to the department of inspections, appeals, and licensing requirements in </w:t>
      </w:r>
      <w:hyperlink r:id="rId90">
        <w:r>
          <w:rPr>
            <w:rStyle w:val="Hyperlink"/>
            <w:rFonts w:ascii="Times New Roman" w:hAnsi="Times New Roman"/>
            <w:b w:val="false"/>
            <w:i w:val="false"/>
            <w:color w:val="000000"/>
            <w:sz w:val="24"/>
          </w:rPr>
          <w:t>481—Chapter 58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Speech generating devices with approved medical necessity.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Wheelchairs for members in an ICF/ID.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types of DME covered through the Medicaid program include but are not limited to:</w:t>
      </w:r>
    </w:p>
    <w:p>
      <w:pPr>
        <w:spacing w:before="0" w:after="0" w:line="480"/>
        <w:ind w:left="120"/>
        <w:jc w:val="both"/>
      </w:pPr>
      <w:r>
        <w:rPr>
          <w:rFonts w:ascii="Times New Roman" w:hAnsi="Times New Roman"/>
          <w:b w:val="false"/>
          <w:i w:val="false"/>
          <w:color w:val="000000"/>
          <w:sz w:val="24"/>
        </w:rPr>
        <w:t xml:space="preserve">Automated medication dispenser. </w:t>
      </w:r>
    </w:p>
    <w:p>
      <w:pPr>
        <w:spacing w:before="0" w:after="0" w:line="480"/>
        <w:ind w:left="120"/>
        <w:jc w:val="both"/>
      </w:pPr>
      <w:r>
        <w:rPr>
          <w:rFonts w:ascii="Times New Roman" w:hAnsi="Times New Roman"/>
          <w:b w:val="false"/>
          <w:i w:val="false"/>
          <w:color w:val="000000"/>
          <w:sz w:val="24"/>
        </w:rPr>
        <w:t xml:space="preserve">Bathtub/shower chair, bench. See subrule </w:t>
      </w:r>
      <w:hyperlink r:id="rId91">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 xml:space="preserve"> for prior authorization requirements.</w:t>
      </w:r>
    </w:p>
    <w:p>
      <w:pPr>
        <w:spacing w:before="0" w:after="0" w:line="480"/>
        <w:ind w:left="120"/>
        <w:jc w:val="both"/>
      </w:pPr>
      <w:r>
        <w:rPr>
          <w:rFonts w:ascii="Times New Roman" w:hAnsi="Times New Roman"/>
          <w:b w:val="false"/>
          <w:i w:val="false"/>
          <w:color w:val="000000"/>
          <w:sz w:val="24"/>
        </w:rPr>
        <w:t xml:space="preserve">Commode, shower commode chair. See subrule </w:t>
      </w:r>
      <w:hyperlink r:id="rId92">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 xml:space="preserve"> for prior authorization requirements.</w:t>
      </w:r>
    </w:p>
    <w:p>
      <w:pPr>
        <w:spacing w:before="0" w:after="0" w:line="480"/>
        <w:ind w:left="120"/>
        <w:jc w:val="both"/>
      </w:pPr>
      <w:r>
        <w:rPr>
          <w:rFonts w:ascii="Times New Roman" w:hAnsi="Times New Roman"/>
          <w:b w:val="false"/>
          <w:i w:val="false"/>
          <w:color w:val="000000"/>
          <w:sz w:val="24"/>
        </w:rPr>
        <w:t>Decubitus equipment.</w:t>
      </w:r>
    </w:p>
    <w:p>
      <w:pPr>
        <w:spacing w:before="0" w:after="0" w:line="480"/>
        <w:ind w:left="120"/>
        <w:jc w:val="both"/>
      </w:pPr>
      <w:r>
        <w:rPr>
          <w:rFonts w:ascii="Times New Roman" w:hAnsi="Times New Roman"/>
          <w:b w:val="false"/>
          <w:i w:val="false"/>
          <w:color w:val="000000"/>
          <w:sz w:val="24"/>
        </w:rPr>
        <w:t>Dialysis equipment.</w:t>
      </w:r>
    </w:p>
    <w:p>
      <w:pPr>
        <w:spacing w:before="0" w:after="0" w:line="480"/>
        <w:ind w:left="120"/>
        <w:jc w:val="both"/>
      </w:pPr>
      <w:r>
        <w:rPr>
          <w:rFonts w:ascii="Times New Roman" w:hAnsi="Times New Roman"/>
          <w:b w:val="false"/>
          <w:i w:val="false"/>
          <w:color w:val="000000"/>
          <w:sz w:val="24"/>
        </w:rPr>
        <w:t>Diaphragm (contraceptive device).</w:t>
      </w:r>
    </w:p>
    <w:p>
      <w:pPr>
        <w:spacing w:before="0" w:after="0" w:line="480"/>
        <w:ind w:left="120"/>
        <w:jc w:val="both"/>
      </w:pPr>
      <w:r>
        <w:rPr>
          <w:rFonts w:ascii="Times New Roman" w:hAnsi="Times New Roman"/>
          <w:b w:val="false"/>
          <w:i w:val="false"/>
          <w:color w:val="000000"/>
          <w:sz w:val="24"/>
        </w:rPr>
        <w:t xml:space="preserve">Enclosed bed. See subrule </w:t>
      </w:r>
      <w:hyperlink r:id="rId93">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 xml:space="preserve"> for prior authorization requirements.</w:t>
      </w:r>
    </w:p>
    <w:p>
      <w:pPr>
        <w:spacing w:before="0" w:after="0" w:line="480"/>
        <w:ind w:left="120"/>
        <w:jc w:val="both"/>
      </w:pPr>
      <w:r>
        <w:rPr>
          <w:rFonts w:ascii="Times New Roman" w:hAnsi="Times New Roman"/>
          <w:b w:val="false"/>
          <w:i w:val="false"/>
          <w:color w:val="000000"/>
          <w:sz w:val="24"/>
        </w:rPr>
        <w:t>Enuresis alarm system (bed-wetting alarm device) for members five years of age or older.</w:t>
      </w:r>
    </w:p>
    <w:p>
      <w:pPr>
        <w:spacing w:before="0" w:after="0" w:line="480"/>
        <w:ind w:left="120"/>
        <w:jc w:val="both"/>
      </w:pPr>
      <w:r>
        <w:rPr>
          <w:rFonts w:ascii="Times New Roman" w:hAnsi="Times New Roman"/>
          <w:b w:val="false"/>
          <w:i w:val="false"/>
          <w:color w:val="000000"/>
          <w:sz w:val="24"/>
        </w:rPr>
        <w:t>Heat/cold application device.</w:t>
      </w:r>
    </w:p>
    <w:p>
      <w:pPr>
        <w:spacing w:before="0" w:after="0" w:line="480"/>
        <w:ind w:left="120"/>
        <w:jc w:val="both"/>
      </w:pPr>
      <w:r>
        <w:rPr>
          <w:rFonts w:ascii="Times New Roman" w:hAnsi="Times New Roman"/>
          <w:b w:val="false"/>
          <w:i w:val="false"/>
          <w:color w:val="000000"/>
          <w:sz w:val="24"/>
        </w:rPr>
        <w:t>Hospital bed and accessories.</w:t>
      </w:r>
    </w:p>
    <w:p>
      <w:pPr>
        <w:spacing w:before="0" w:after="0" w:line="480"/>
        <w:ind w:left="120"/>
        <w:jc w:val="both"/>
      </w:pPr>
      <w:r>
        <w:rPr>
          <w:rFonts w:ascii="Times New Roman" w:hAnsi="Times New Roman"/>
          <w:b w:val="false"/>
          <w:i w:val="false"/>
          <w:color w:val="000000"/>
          <w:sz w:val="24"/>
        </w:rPr>
        <w:t xml:space="preserve">Inhalation equipment. See subrule </w:t>
      </w:r>
      <w:hyperlink r:id="rId94">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 xml:space="preserve"> for prior authorization requirements.</w:t>
      </w:r>
    </w:p>
    <w:p>
      <w:pPr>
        <w:spacing w:before="0" w:after="0" w:line="480"/>
        <w:ind w:left="120"/>
        <w:jc w:val="both"/>
      </w:pPr>
      <w:r>
        <w:rPr>
          <w:rFonts w:ascii="Times New Roman" w:hAnsi="Times New Roman"/>
          <w:b w:val="false"/>
          <w:i w:val="false"/>
          <w:color w:val="000000"/>
          <w:sz w:val="24"/>
        </w:rPr>
        <w:t xml:space="preserve">Insulin infusion pump. See subrule </w:t>
      </w:r>
      <w:hyperlink r:id="rId95">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 xml:space="preserve"> for prior authorization requirements.</w:t>
      </w:r>
    </w:p>
    <w:p>
      <w:pPr>
        <w:spacing w:before="0" w:after="0" w:line="480"/>
        <w:ind w:left="120"/>
        <w:jc w:val="both"/>
      </w:pPr>
      <w:r>
        <w:rPr>
          <w:rFonts w:ascii="Times New Roman" w:hAnsi="Times New Roman"/>
          <w:b w:val="false"/>
          <w:i w:val="false"/>
          <w:color w:val="000000"/>
          <w:sz w:val="24"/>
        </w:rPr>
        <w:t>Lymphedema pump.</w:t>
      </w:r>
    </w:p>
    <w:p>
      <w:pPr>
        <w:spacing w:before="0" w:after="0" w:line="480"/>
        <w:ind w:left="120"/>
        <w:jc w:val="both"/>
      </w:pPr>
      <w:r>
        <w:rPr>
          <w:rFonts w:ascii="Times New Roman" w:hAnsi="Times New Roman"/>
          <w:b w:val="false"/>
          <w:i w:val="false"/>
          <w:color w:val="000000"/>
          <w:sz w:val="24"/>
        </w:rPr>
        <w:t xml:space="preserve">Mobility device and accessories. See subrule </w:t>
      </w:r>
      <w:hyperlink r:id="rId96">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 xml:space="preserve"> for prior authorization requirements.</w:t>
      </w:r>
    </w:p>
    <w:p>
      <w:pPr>
        <w:spacing w:before="0" w:after="0" w:line="480"/>
        <w:ind w:left="120"/>
        <w:jc w:val="both"/>
      </w:pPr>
      <w:r>
        <w:rPr>
          <w:rFonts w:ascii="Times New Roman" w:hAnsi="Times New Roman"/>
          <w:b w:val="false"/>
          <w:i w:val="false"/>
          <w:color w:val="000000"/>
          <w:sz w:val="24"/>
        </w:rPr>
        <w:t>Neuromuscular stimulator.</w:t>
      </w:r>
    </w:p>
    <w:p>
      <w:pPr>
        <w:spacing w:before="0" w:after="0" w:line="480"/>
        <w:ind w:left="120"/>
        <w:jc w:val="both"/>
      </w:pPr>
      <w:r>
        <w:rPr>
          <w:rFonts w:ascii="Times New Roman" w:hAnsi="Times New Roman"/>
          <w:b w:val="false"/>
          <w:i w:val="false"/>
          <w:color w:val="000000"/>
          <w:sz w:val="24"/>
        </w:rPr>
        <w:t>Oximeter.</w:t>
      </w:r>
    </w:p>
    <w:p>
      <w:pPr>
        <w:spacing w:before="0" w:after="0" w:line="480"/>
        <w:ind w:left="120"/>
        <w:jc w:val="both"/>
      </w:pPr>
      <w:r>
        <w:rPr>
          <w:rFonts w:ascii="Times New Roman" w:hAnsi="Times New Roman"/>
          <w:b w:val="false"/>
          <w:i w:val="false"/>
          <w:color w:val="000000"/>
          <w:sz w:val="24"/>
        </w:rPr>
        <w:t xml:space="preserve">Oxygen, subject to the limitations in paragraphs </w:t>
      </w:r>
      <w:hyperlink r:id="rId97">
        <w:r>
          <w:rPr>
            <w:rStyle w:val="Hyperlink"/>
            <w:rFonts w:ascii="Times New Roman" w:hAnsi="Times New Roman"/>
            <w:b w:val="false"/>
            <w:i w:val="false"/>
            <w:color w:val="000000"/>
            <w:sz w:val="24"/>
          </w:rPr>
          <w:t>78.10(2)</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xml:space="preserve">Patient lift. See subrule </w:t>
      </w:r>
      <w:hyperlink r:id="rId98">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 xml:space="preserve"> for prior authorization requirements.</w:t>
      </w:r>
    </w:p>
    <w:p>
      <w:pPr>
        <w:spacing w:before="0" w:after="0" w:line="480"/>
        <w:ind w:left="120"/>
        <w:jc w:val="both"/>
      </w:pPr>
      <w:r>
        <w:rPr>
          <w:rFonts w:ascii="Times New Roman" w:hAnsi="Times New Roman"/>
          <w:b w:val="false"/>
          <w:i w:val="false"/>
          <w:color w:val="000000"/>
          <w:sz w:val="24"/>
        </w:rPr>
        <w:t>Phototherapy bilirubin light.</w:t>
      </w:r>
    </w:p>
    <w:p>
      <w:pPr>
        <w:spacing w:before="0" w:after="0" w:line="480"/>
        <w:ind w:left="120"/>
        <w:jc w:val="both"/>
      </w:pPr>
      <w:r>
        <w:rPr>
          <w:rFonts w:ascii="Times New Roman" w:hAnsi="Times New Roman"/>
          <w:b w:val="false"/>
          <w:i w:val="false"/>
          <w:color w:val="000000"/>
          <w:sz w:val="24"/>
        </w:rPr>
        <w:t>Protective helmet.</w:t>
      </w:r>
    </w:p>
    <w:p>
      <w:pPr>
        <w:spacing w:before="0" w:after="0" w:line="480"/>
        <w:ind w:left="120"/>
        <w:jc w:val="both"/>
      </w:pPr>
      <w:r>
        <w:rPr>
          <w:rFonts w:ascii="Times New Roman" w:hAnsi="Times New Roman"/>
          <w:b w:val="false"/>
          <w:i w:val="false"/>
          <w:color w:val="000000"/>
          <w:sz w:val="24"/>
        </w:rPr>
        <w:t>Seat lift chair.</w:t>
      </w:r>
    </w:p>
    <w:p>
      <w:pPr>
        <w:spacing w:before="0" w:after="0" w:line="480"/>
        <w:ind w:left="120"/>
        <w:jc w:val="both"/>
      </w:pPr>
      <w:r>
        <w:rPr>
          <w:rFonts w:ascii="Times New Roman" w:hAnsi="Times New Roman"/>
          <w:b w:val="false"/>
          <w:i w:val="false"/>
          <w:color w:val="000000"/>
          <w:sz w:val="24"/>
        </w:rPr>
        <w:t xml:space="preserve">Speech generating device. See subrule </w:t>
      </w:r>
      <w:hyperlink r:id="rId99">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 xml:space="preserve"> for prior authorization requirements.</w:t>
      </w:r>
    </w:p>
    <w:p>
      <w:pPr>
        <w:spacing w:before="0" w:after="0" w:line="480"/>
        <w:ind w:left="120"/>
        <w:jc w:val="both"/>
      </w:pPr>
      <w:r>
        <w:rPr>
          <w:rFonts w:ascii="Times New Roman" w:hAnsi="Times New Roman"/>
          <w:b w:val="false"/>
          <w:i w:val="false"/>
          <w:color w:val="000000"/>
          <w:sz w:val="24"/>
        </w:rPr>
        <w:t>Traction equipment.</w:t>
      </w:r>
    </w:p>
    <w:p>
      <w:pPr>
        <w:spacing w:before="0" w:after="0" w:line="480"/>
        <w:ind w:left="120"/>
        <w:jc w:val="both"/>
      </w:pPr>
      <w:r>
        <w:rPr>
          <w:rFonts w:ascii="Times New Roman" w:hAnsi="Times New Roman"/>
          <w:b w:val="false"/>
          <w:i w:val="false"/>
          <w:color w:val="000000"/>
          <w:sz w:val="24"/>
        </w:rPr>
        <w:t>Ventilator.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Coverage of home oxygen equipment and oxygen will be considered reasonable and necessary for members in accordance with Medicare criteria and as shown by supporting medical documentation. The physician, PA, or ARNP shall document that other forms of treatment are contraindicated or have been tried and have not been successful and that oxygen therapy is required. </w:t>
      </w:r>
      <w:r>
        <w:rPr>
          <w:rFonts w:ascii="Times New Roman" w:hAnsi="Times New Roman"/>
          <w:b w:val="false"/>
          <w:i w:val="false"/>
          <w:color w:val="000000"/>
          <w:sz w:val="24"/>
        </w:rPr>
        <w:t>EXCEPTION</w:t>
      </w:r>
      <w:r>
        <w:rPr>
          <w:rFonts w:ascii="Times New Roman" w:hAnsi="Times New Roman"/>
          <w:b w:val="false"/>
          <w:i w:val="false"/>
          <w:color w:val="000000"/>
          <w:sz w:val="24"/>
        </w:rPr>
        <w:t>: Home oxygen equipment and oxygen are covered for children through three years of age when prescribed by a physician, PA, or ARNP. A pulse oximeter reading must be obtained yearly and documented in the provider and physician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To identify the medical necessity for oxygen therapy, medical documentation, or a reasonable facsimile completed by a physician, PA, or ARNP shall qualify the member in accordance with Medicare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member’s condition or need for oxygen services changes, the attending physician, PA, or ARNP must adjust the documentation accordingly.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second oxygen system is not covered by Medicaid when used as a backup for oxygen concentrators or as a standby in case of emergency. Members may be provided with a portable oxygen system to complement a stationary oxygen system, or to be used by itself, with documentation from the physician, PA, or ARNP of the specific activities for which portable oxygen is medically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Payment for oxygen systems will be made only on a rental basis for the duration of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All accessories, disposable supplies, servicing, and repairing of oxygen systems are included in the monthly Medicaid payment for oxygen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Oxygen prescribed “PRN” or “as necessary” is not allowed.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Wheelchairs, wheelchair accessories, and wheelchair modifications are covered when they are medically necessary for mobility within the home, nursing facility, or intermediate care facility. Wheelchairs are defined as: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Standard manual wheelchairs. Coverage of a standard manual wheelchair includes the following: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Complete set of tires/wheels and casters, any type;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Hand rims with or without projections;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Weight-specific components required by the patient-weight capacity of the wheelchair;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Elevating legrest, lower extension tube and upper hanger bracket;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Armrest (detachable, non-adjustable or adjustable) with or without arm pad;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Footrest (swingaway, detachable), including lower extension tube(s) and upper hanger bracket;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Standard size footplates;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Wheelchair bearings;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Caster fork, replacement only;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All labor charges involved in the assembly of the wheelchair (including but not limited to front caster assembly, rear wheel assembly, ratchet assembly, wheel lock assembly, footrest assembly).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Standard manual wheelchair accessories that are separately billable and require prior authorization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Headrest extensions;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One-arm drive attachments;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Positioning accessories;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Specialized skin protection seat and back cushions;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Anti-rollback devices.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Standard power wheelchair. Coverage of a standard power wheelchair requires prior authorization and includes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Lap belt or safety belt;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Battery charger, single mode;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Complete set of tires/wheels and casters, any type;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Legrests (fixed, swingaway, or detachable non-elevation legrests with or without calf pad);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Footrests/foot platform (fixed, swingaway, detachable footrests or a foot platform without angle adjustment, single adjustable footplate);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Armrests (fixed, swingaway, detachable non-adjustable height armrests with arm pad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Any weight-specific components (braces, bars, upholstery, brackets, motors, gears, etc.) as required by patient-weight capacity of the wheelchair;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Any seat width and depth. For power wheelchairs with a sling/solid seat/back, the following may be billed separately:</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For standard duty, seat width and/or depth greater than 20 inches;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For heavy duty, seat width and/or depth greater than 22 inches;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For very heavy duty, seat width and/or depth greater than 24 inches;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EXCEPTION</w:t>
      </w:r>
      <w:r>
        <w:rPr>
          <w:rFonts w:ascii="Times New Roman" w:hAnsi="Times New Roman"/>
          <w:b w:val="false"/>
          <w:i w:val="false"/>
          <w:color w:val="000000"/>
          <w:sz w:val="24"/>
        </w:rPr>
        <w:t>: For extra heavy duty, there is no separate billing;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 xml:space="preserve">Any back width. For power wheelchairs with a sling/solid seat/back, the following may be billed separately: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For standard duty, seat width and/or depth greater than 20 inches;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For heavy duty, seat width and/or depth greater than 22 inches;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For very heavy duty, seat width and/or depth greater than 24 inches;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EXCEPTION</w:t>
      </w:r>
      <w:r>
        <w:rPr>
          <w:rFonts w:ascii="Times New Roman" w:hAnsi="Times New Roman"/>
          <w:b w:val="false"/>
          <w:i w:val="false"/>
          <w:color w:val="000000"/>
          <w:sz w:val="24"/>
        </w:rPr>
        <w:t>: For extra heavy duty, there is no separate billing;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Non-expandable controller or standard proportional joystick (integrated or remote);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All labor charges involved in the assembly of the wheelchair (including but not limited to front caster assembly, rear wheel assembly, ratchet assembly, wheel lock assembly, footrest assembly).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Standard power wheelchair accessories that are billed separately and require a prior authorization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Shoulder harness/straps or chest straps/vest;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Elevating legrest;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Angle adjustable footplates;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Adjustable height armrests;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Expandable controller or nonstandard joystick (i.e., non-proportional or mini, compact or short throw proportional, or other alternative control device).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Customized items are payable with a prior authorization, in accordance with </w:t>
      </w:r>
      <w:r>
        <w:rPr>
          <w:rFonts w:ascii="Times New Roman" w:hAnsi="Times New Roman"/>
          <w:b w:val="false"/>
          <w:i w:val="false"/>
          <w:color w:val="000000"/>
          <w:sz w:val="24"/>
        </w:rPr>
        <w:t>42 CFR 414.224</w:t>
      </w:r>
      <w:r>
        <w:rPr>
          <w:rFonts w:ascii="Times New Roman" w:hAnsi="Times New Roman"/>
          <w:b w:val="false"/>
          <w:i w:val="false"/>
          <w:color w:val="000000"/>
          <w:sz w:val="24"/>
        </w:rPr>
        <w:t xml:space="preserve"> as amended to July 1, 2026.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78.10(3)</w:t>
      </w:r>
      <w:r>
        <w:rPr>
          <w:rFonts w:ascii="Times New Roman" w:hAnsi="Times New Roman"/>
          <w:b w:val="false"/>
          <w:i w:val="false"/>
          <w:color w:val="000000"/>
          <w:sz w:val="24"/>
        </w:rPr>
        <w:t> </w:t>
      </w:r>
      <w:r>
        <w:rPr>
          <w:rFonts w:ascii="Times New Roman" w:hAnsi="Times New Roman"/>
          <w:b w:val="false"/>
          <w:i/>
          <w:color w:val="000000"/>
          <w:sz w:val="24"/>
        </w:rPr>
        <w:t xml:space="preserve">Prosthetic devices. </w:t>
      </w:r>
      <w:r>
        <w:rPr>
          <w:rFonts w:ascii="Times New Roman" w:hAnsi="Times New Roman"/>
          <w:b w:val="false"/>
          <w:i w:val="false"/>
          <w:color w:val="000000"/>
          <w:sz w:val="24"/>
        </w:rPr>
        <w:t>Prosthetic devices mean replacement, corrective, or supportive devices prescribed by a physician (doctor of medicine, osteopathy or podiatry), PA, or ARNP within the scope of practice as defined by state law to artificially replace a missing portion of the body, prevent or correct a physical deformity or malfunction, or support a weak or deformed portion of the body. This does not require a determination that there is no possibility that the member’s condition may improve sometime in the future.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Prosthetic devices are not covered when dispensed to a member prior to the time the member undergoes a procedure which will make necessary the use of the device.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types of prosthetic devices covered through the Medicaid program include but are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Artificial eyes.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Artificial limbs.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Enteral delivery supplies and products. See subrule </w:t>
      </w:r>
      <w:hyperlink r:id="rId100">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 xml:space="preserve"> for prior authorization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Hearing aids. See rule </w:t>
      </w:r>
      <w:hyperlink r:id="rId101">
        <w:r>
          <w:rPr>
            <w:rStyle w:val="Hyperlink"/>
            <w:rFonts w:ascii="Times New Roman" w:hAnsi="Times New Roman"/>
            <w:b w:val="false"/>
            <w:i w:val="false"/>
            <w:color w:val="000000"/>
            <w:sz w:val="24"/>
          </w:rPr>
          <w:t>441—78.14</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Orthotic devices. See paragraph </w:t>
      </w:r>
      <w:hyperlink r:id="rId102">
        <w:r>
          <w:rPr>
            <w:rStyle w:val="Hyperlink"/>
            <w:rFonts w:ascii="Times New Roman" w:hAnsi="Times New Roman"/>
            <w:b w:val="false"/>
            <w:i w:val="false"/>
            <w:color w:val="000000"/>
            <w:sz w:val="24"/>
          </w:rPr>
          <w:t>78.10(3)</w:t>
        </w:r>
        <w:r>
          <w:rPr>
            <w:rFonts w:ascii="Times New Roman" w:hAnsi="Times New Roman"/>
            <w:b w:val="false"/>
            <w:i/>
            <w:color w:val="000000"/>
            <w:sz w:val="24"/>
          </w:rPr>
          <w:t>“c”</w:t>
        </w:r>
      </w:hyperlink>
      <w:r>
        <w:rPr>
          <w:rFonts w:ascii="Times New Roman" w:hAnsi="Times New Roman"/>
          <w:b w:val="false"/>
          <w:i w:val="false"/>
          <w:color w:val="000000"/>
          <w:sz w:val="24"/>
        </w:rPr>
        <w:t xml:space="preserve"> for limitations on coverage of cranial orthotic devices.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Ostomy appliances.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Parenteral delivery supplies and products. Daily parenteral nutrition therapy is considered necessary and reasonable for a member with severe pathology of the alimentary tract that does not allow absorption of sufficient nutrients to maintain weight and strength commensurate with the member’s general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 xml:space="preserve">Prosthetic shoes, orthopedic shoes. See rule </w:t>
      </w:r>
      <w:hyperlink r:id="rId103">
        <w:r>
          <w:rPr>
            <w:rStyle w:val="Hyperlink"/>
            <w:rFonts w:ascii="Times New Roman" w:hAnsi="Times New Roman"/>
            <w:b w:val="false"/>
            <w:i w:val="false"/>
            <w:color w:val="000000"/>
            <w:sz w:val="24"/>
          </w:rPr>
          <w:t>441—78.15</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Tracheotomy tubes.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Vibrotactile aids. Vibrotactile aids are payable only once in a four-year period unless the original aid is broken beyond repair or lost.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Cranial orthotic device. Payment will be approved for cranial orthotic devices when the device is medically necessary for the postsurgical treatment of synostotic plagiocephaly. Payment shall also be approved when there is documentation supporting moderate to severe nonsynostotic positional plagiocephaly and meets minimum medical necessity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78.10(4)</w:t>
      </w:r>
      <w:r>
        <w:rPr>
          <w:rFonts w:ascii="Times New Roman" w:hAnsi="Times New Roman"/>
          <w:b w:val="false"/>
          <w:i w:val="false"/>
          <w:color w:val="000000"/>
          <w:sz w:val="24"/>
        </w:rPr>
        <w:t> </w:t>
      </w:r>
      <w:r>
        <w:rPr>
          <w:rFonts w:ascii="Times New Roman" w:hAnsi="Times New Roman"/>
          <w:b w:val="false"/>
          <w:i/>
          <w:color w:val="000000"/>
          <w:sz w:val="24"/>
        </w:rPr>
        <w:t xml:space="preserve">Medical supplies. </w:t>
      </w:r>
      <w:r>
        <w:rPr>
          <w:rFonts w:ascii="Times New Roman" w:hAnsi="Times New Roman"/>
          <w:b w:val="false"/>
          <w:i w:val="false"/>
          <w:color w:val="000000"/>
          <w:sz w:val="24"/>
        </w:rPr>
        <w:t xml:space="preserve">Medical supplies are nondurable items consumed in the process of giving medical care, for example, nebulizers, gauze, bandages, sterile pads, adhesive tape, and sterile absorbent cotton. Medical supplies are payable for a specific medicinal purpose. This does not include food or drugs. However, active pharmaceutical ingredients and excipients that are identified as preferred on the preferred drug list published by the department pursuant to Iowa Code section </w:t>
      </w:r>
      <w:hyperlink r:id="rId104">
        <w:r>
          <w:rPr>
            <w:rStyle w:val="Hyperlink"/>
            <w:rFonts w:ascii="Times New Roman" w:hAnsi="Times New Roman"/>
            <w:b w:val="false"/>
            <w:i w:val="false"/>
            <w:color w:val="000000"/>
            <w:sz w:val="24"/>
          </w:rPr>
          <w:t>249A.20A</w:t>
        </w:r>
      </w:hyperlink>
      <w:r>
        <w:rPr>
          <w:rFonts w:ascii="Times New Roman" w:hAnsi="Times New Roman"/>
          <w:b w:val="false"/>
          <w:i w:val="false"/>
          <w:color w:val="000000"/>
          <w:sz w:val="24"/>
        </w:rPr>
        <w:t xml:space="preserve"> are covered. Medical supplies shall not be dispensed at any one time in quantities exceeding a 31-day supply for active pharmaceutical ingredients and excipients or a three-month supply for all other items. After the initial dispensing of medical supplies, the provider must document a refill request from the Medicaid member or the member’s caregiver for each refill.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types of medical supplies and supplies necessary for the effective use of a payable item covered through the Medicaid program include but are not limited to:</w:t>
      </w:r>
    </w:p>
    <w:p>
      <w:pPr>
        <w:spacing w:before="0" w:after="0" w:line="480"/>
        <w:ind w:left="120"/>
        <w:jc w:val="both"/>
      </w:pPr>
      <w:r>
        <w:rPr>
          <w:rFonts w:ascii="Times New Roman" w:hAnsi="Times New Roman"/>
          <w:b w:val="false"/>
          <w:i w:val="false"/>
          <w:color w:val="000000"/>
          <w:sz w:val="24"/>
        </w:rPr>
        <w:t xml:space="preserve">Active pharmaceutical ingredients and excipients identified as preferred on the preferred drug list published pursuant to Iowa Code section </w:t>
      </w:r>
      <w:hyperlink r:id="rId105">
        <w:r>
          <w:rPr>
            <w:rStyle w:val="Hyperlink"/>
            <w:rFonts w:ascii="Times New Roman" w:hAnsi="Times New Roman"/>
            <w:b w:val="false"/>
            <w:i w:val="false"/>
            <w:color w:val="000000"/>
            <w:sz w:val="24"/>
          </w:rPr>
          <w:t>249A.20A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Catheter (indwelling Foley).</w:t>
      </w:r>
    </w:p>
    <w:p>
      <w:pPr>
        <w:spacing w:before="0" w:after="0" w:line="480"/>
        <w:ind w:left="120"/>
        <w:jc w:val="both"/>
      </w:pPr>
      <w:r>
        <w:rPr>
          <w:rFonts w:ascii="Times New Roman" w:hAnsi="Times New Roman"/>
          <w:b w:val="false"/>
          <w:i w:val="false"/>
          <w:color w:val="000000"/>
          <w:sz w:val="24"/>
        </w:rPr>
        <w:t>Colostomy and ileostomy appliances.</w:t>
      </w:r>
    </w:p>
    <w:p>
      <w:pPr>
        <w:spacing w:before="0" w:after="0" w:line="480"/>
        <w:ind w:left="120"/>
        <w:jc w:val="both"/>
      </w:pPr>
      <w:r>
        <w:rPr>
          <w:rFonts w:ascii="Times New Roman" w:hAnsi="Times New Roman"/>
          <w:b w:val="false"/>
          <w:i w:val="false"/>
          <w:color w:val="000000"/>
          <w:sz w:val="24"/>
        </w:rPr>
        <w:t>Colostomy and ileostomy care dressings, liquid adhesive, and adhesive tape.</w:t>
      </w:r>
    </w:p>
    <w:p>
      <w:pPr>
        <w:spacing w:before="0" w:after="0" w:line="480"/>
        <w:ind w:left="120"/>
        <w:jc w:val="both"/>
      </w:pPr>
      <w:r>
        <w:rPr>
          <w:rFonts w:ascii="Times New Roman" w:hAnsi="Times New Roman"/>
          <w:b w:val="false"/>
          <w:i w:val="false"/>
          <w:color w:val="000000"/>
          <w:sz w:val="24"/>
        </w:rPr>
        <w:t xml:space="preserve">Diabetic supplies (including but not limited to blood glucose test strips, lancing devices, lancets, needles, syringes, and diabetic urine test supplies). See subrule </w:t>
      </w:r>
      <w:hyperlink r:id="rId106">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 xml:space="preserve"> for prior authorization requirements.</w:t>
      </w:r>
    </w:p>
    <w:p>
      <w:pPr>
        <w:spacing w:before="0" w:after="0" w:line="480"/>
        <w:ind w:left="120"/>
        <w:jc w:val="both"/>
      </w:pPr>
      <w:r>
        <w:rPr>
          <w:rFonts w:ascii="Times New Roman" w:hAnsi="Times New Roman"/>
          <w:b w:val="false"/>
          <w:i w:val="false"/>
          <w:color w:val="000000"/>
          <w:sz w:val="24"/>
        </w:rPr>
        <w:t>Dialysis supplies.</w:t>
      </w:r>
    </w:p>
    <w:p>
      <w:pPr>
        <w:spacing w:before="0" w:after="0" w:line="480"/>
        <w:ind w:left="120"/>
        <w:jc w:val="both"/>
      </w:pPr>
      <w:r>
        <w:rPr>
          <w:rFonts w:ascii="Times New Roman" w:hAnsi="Times New Roman"/>
          <w:b w:val="false"/>
          <w:i w:val="false"/>
          <w:color w:val="000000"/>
          <w:sz w:val="24"/>
        </w:rPr>
        <w:t>Disposable catheterization trays or sets (sterile).</w:t>
      </w:r>
    </w:p>
    <w:p>
      <w:pPr>
        <w:spacing w:before="0" w:after="0" w:line="480"/>
        <w:ind w:left="120"/>
        <w:jc w:val="both"/>
      </w:pPr>
      <w:r>
        <w:rPr>
          <w:rFonts w:ascii="Times New Roman" w:hAnsi="Times New Roman"/>
          <w:b w:val="false"/>
          <w:i w:val="false"/>
          <w:color w:val="000000"/>
          <w:sz w:val="24"/>
        </w:rPr>
        <w:t>Disposable irrigation trays or sets (sterile).</w:t>
      </w:r>
    </w:p>
    <w:p>
      <w:pPr>
        <w:spacing w:before="0" w:after="0" w:line="480"/>
        <w:ind w:left="120"/>
        <w:jc w:val="both"/>
      </w:pPr>
      <w:r>
        <w:rPr>
          <w:rFonts w:ascii="Times New Roman" w:hAnsi="Times New Roman"/>
          <w:b w:val="false"/>
          <w:i w:val="false"/>
          <w:color w:val="000000"/>
          <w:sz w:val="24"/>
        </w:rPr>
        <w:t>Disposable saline enemas (e.g., sodium phosphate type).</w:t>
      </w:r>
    </w:p>
    <w:p>
      <w:pPr>
        <w:spacing w:before="0" w:after="0" w:line="480"/>
        <w:ind w:left="120"/>
        <w:jc w:val="both"/>
      </w:pPr>
      <w:r>
        <w:rPr>
          <w:rFonts w:ascii="Times New Roman" w:hAnsi="Times New Roman"/>
          <w:b w:val="false"/>
          <w:i w:val="false"/>
          <w:color w:val="000000"/>
          <w:sz w:val="24"/>
        </w:rPr>
        <w:t>Dressings.</w:t>
      </w:r>
    </w:p>
    <w:p>
      <w:pPr>
        <w:spacing w:before="0" w:after="0" w:line="480"/>
        <w:ind w:left="120"/>
        <w:jc w:val="both"/>
      </w:pPr>
      <w:r>
        <w:rPr>
          <w:rFonts w:ascii="Times New Roman" w:hAnsi="Times New Roman"/>
          <w:b w:val="false"/>
          <w:i w:val="false"/>
          <w:color w:val="000000"/>
          <w:sz w:val="24"/>
        </w:rPr>
        <w:t>Elastic antiembolism support stocking.</w:t>
      </w:r>
    </w:p>
    <w:p>
      <w:pPr>
        <w:spacing w:before="0" w:after="0" w:line="480"/>
        <w:ind w:left="120"/>
        <w:jc w:val="both"/>
      </w:pPr>
      <w:r>
        <w:rPr>
          <w:rFonts w:ascii="Times New Roman" w:hAnsi="Times New Roman"/>
          <w:b w:val="false"/>
          <w:i w:val="false"/>
          <w:color w:val="000000"/>
          <w:sz w:val="24"/>
        </w:rPr>
        <w:t>Enema.</w:t>
      </w:r>
    </w:p>
    <w:p>
      <w:pPr>
        <w:spacing w:before="0" w:after="0" w:line="480"/>
        <w:ind w:left="120"/>
        <w:jc w:val="both"/>
      </w:pPr>
      <w:r>
        <w:rPr>
          <w:rFonts w:ascii="Times New Roman" w:hAnsi="Times New Roman"/>
          <w:b w:val="false"/>
          <w:i w:val="false"/>
          <w:color w:val="000000"/>
          <w:sz w:val="24"/>
        </w:rPr>
        <w:t>Hearing aid batteries.</w:t>
      </w:r>
    </w:p>
    <w:p>
      <w:pPr>
        <w:spacing w:before="0" w:after="0" w:line="480"/>
        <w:ind w:left="120"/>
        <w:jc w:val="both"/>
      </w:pPr>
      <w:r>
        <w:rPr>
          <w:rFonts w:ascii="Times New Roman" w:hAnsi="Times New Roman"/>
          <w:b w:val="false"/>
          <w:i w:val="false"/>
          <w:color w:val="000000"/>
          <w:sz w:val="24"/>
        </w:rPr>
        <w:t>Incontinence products (for members three years of age and older).</w:t>
      </w:r>
    </w:p>
    <w:p>
      <w:pPr>
        <w:spacing w:before="0" w:after="0" w:line="480"/>
        <w:ind w:left="120"/>
        <w:jc w:val="both"/>
      </w:pPr>
      <w:r>
        <w:rPr>
          <w:rFonts w:ascii="Times New Roman" w:hAnsi="Times New Roman"/>
          <w:b w:val="false"/>
          <w:i w:val="false"/>
          <w:color w:val="000000"/>
          <w:sz w:val="24"/>
        </w:rPr>
        <w:t xml:space="preserve">Oral nutritional products. See subrule </w:t>
      </w:r>
      <w:hyperlink r:id="rId107">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 xml:space="preserve"> for prior authorization requirements.</w:t>
      </w:r>
    </w:p>
    <w:p>
      <w:pPr>
        <w:spacing w:before="0" w:after="0" w:line="480"/>
        <w:ind w:left="120"/>
        <w:jc w:val="both"/>
      </w:pPr>
      <w:r>
        <w:rPr>
          <w:rFonts w:ascii="Times New Roman" w:hAnsi="Times New Roman"/>
          <w:b w:val="false"/>
          <w:i w:val="false"/>
          <w:color w:val="000000"/>
          <w:sz w:val="24"/>
        </w:rPr>
        <w:t>Ostomy appliances and supplies.</w:t>
      </w:r>
    </w:p>
    <w:p>
      <w:pPr>
        <w:spacing w:before="0" w:after="0" w:line="480"/>
        <w:ind w:left="120"/>
        <w:jc w:val="both"/>
      </w:pPr>
      <w:r>
        <w:rPr>
          <w:rFonts w:ascii="Times New Roman" w:hAnsi="Times New Roman"/>
          <w:b w:val="false"/>
          <w:i w:val="false"/>
          <w:color w:val="000000"/>
          <w:sz w:val="24"/>
        </w:rPr>
        <w:t>Respirator supplies.</w:t>
      </w:r>
    </w:p>
    <w:p>
      <w:pPr>
        <w:spacing w:before="0" w:after="0" w:line="480"/>
        <w:ind w:left="120"/>
        <w:jc w:val="both"/>
      </w:pPr>
      <w:r>
        <w:rPr>
          <w:rFonts w:ascii="Times New Roman" w:hAnsi="Times New Roman"/>
          <w:b w:val="false"/>
          <w:i w:val="false"/>
          <w:color w:val="000000"/>
          <w:sz w:val="24"/>
        </w:rPr>
        <w:t>Shoes, diabetic.</w:t>
      </w:r>
    </w:p>
    <w:p>
      <w:pPr>
        <w:spacing w:before="0" w:after="0" w:line="480"/>
        <w:ind w:left="120"/>
        <w:jc w:val="both"/>
      </w:pPr>
      <w:r>
        <w:rPr>
          <w:rFonts w:ascii="Times New Roman" w:hAnsi="Times New Roman"/>
          <w:b w:val="false"/>
          <w:i w:val="false"/>
          <w:color w:val="000000"/>
          <w:sz w:val="24"/>
        </w:rPr>
        <w:t>Surgical supplies.</w:t>
      </w:r>
    </w:p>
    <w:p>
      <w:pPr>
        <w:spacing w:before="0" w:after="0" w:line="480"/>
        <w:ind w:left="120"/>
        <w:jc w:val="both"/>
      </w:pPr>
      <w:r>
        <w:rPr>
          <w:rFonts w:ascii="Times New Roman" w:hAnsi="Times New Roman"/>
          <w:b w:val="false"/>
          <w:i w:val="false"/>
          <w:color w:val="000000"/>
          <w:sz w:val="24"/>
        </w:rPr>
        <w:t>Urinary collection supplies.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Only the following types of medical supplies will be approved for payment for members receiving care in a nursing facility or an ICF/ID when prescribed by the physician, PA, or ARNP: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Catheter (indwelling Foley).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Diabetic supplies (including but not limited to lancing devices, lancets, needles and syringes, blood glucose test strips, and diabetic urine test supplies).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Disposable catheterization trays or sets (sterile).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Disposable irrigation trays or sets (sterile).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Disposable saline enemas (e.g., sodium phosphate type).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Ostomy appliances and supplies.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Shoes, diabetic.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78.10(5)</w:t>
      </w:r>
      <w:r>
        <w:rPr>
          <w:rFonts w:ascii="Times New Roman" w:hAnsi="Times New Roman"/>
          <w:b w:val="false"/>
          <w:i w:val="false"/>
          <w:color w:val="000000"/>
          <w:sz w:val="24"/>
        </w:rPr>
        <w:t> </w:t>
      </w:r>
      <w:r>
        <w:rPr>
          <w:rFonts w:ascii="Times New Roman" w:hAnsi="Times New Roman"/>
          <w:b w:val="false"/>
          <w:i/>
          <w:color w:val="000000"/>
          <w:sz w:val="24"/>
        </w:rPr>
        <w:t xml:space="preserve">Prior authorization requirements. </w:t>
      </w:r>
      <w:r>
        <w:rPr>
          <w:rFonts w:ascii="Times New Roman" w:hAnsi="Times New Roman"/>
          <w:b w:val="false"/>
          <w:i w:val="false"/>
          <w:color w:val="000000"/>
          <w:sz w:val="24"/>
        </w:rPr>
        <w:t xml:space="preserve">Prior authorization pursuant to rule </w:t>
      </w:r>
      <w:hyperlink r:id="rId108">
        <w:r>
          <w:rPr>
            <w:rStyle w:val="Hyperlink"/>
            <w:rFonts w:ascii="Times New Roman" w:hAnsi="Times New Roman"/>
            <w:b w:val="false"/>
            <w:i w:val="false"/>
            <w:color w:val="000000"/>
            <w:sz w:val="24"/>
          </w:rPr>
          <w:t>441—79.8</w:t>
        </w:r>
      </w:hyperlink>
      <w:r>
        <w:rPr>
          <w:rFonts w:ascii="Times New Roman" w:hAnsi="Times New Roman"/>
          <w:b w:val="false"/>
          <w:i w:val="false"/>
          <w:color w:val="000000"/>
          <w:sz w:val="24"/>
        </w:rPr>
        <w:t>(249A) is required for some medical equipment and supplies. Refer to the department’s website for a list of items that require a prior authorization.</w:t>
      </w:r>
    </w:p>
    <w:p>
      <w:pPr>
        <w:spacing w:before="0" w:after="0" w:line="480"/>
        <w:ind w:left="120"/>
        <w:jc w:val="both"/>
      </w:pPr>
      <w:r>
        <w:rPr>
          <w:rFonts w:ascii="Times New Roman" w:hAnsi="Times New Roman"/>
          <w:b/>
          <w:i w:val="false"/>
          <w:color w:val="000000"/>
          <w:sz w:val="24"/>
        </w:rPr>
        <w:t>441—78.11</w:t>
      </w:r>
      <w:r>
        <w:rPr>
          <w:rFonts w:ascii="Times New Roman" w:hAnsi="Times New Roman"/>
          <w:b/>
          <w:i w:val="false"/>
          <w:color w:val="000000"/>
          <w:sz w:val="24"/>
        </w:rPr>
        <w:t xml:space="preserve">(249A) </w:t>
      </w:r>
      <w:r>
        <w:rPr>
          <w:rFonts w:ascii="Times New Roman" w:hAnsi="Times New Roman"/>
          <w:b/>
          <w:i w:val="false"/>
          <w:color w:val="000000"/>
          <w:sz w:val="24"/>
        </w:rPr>
        <w:t xml:space="preserve">Ambulance service. </w:t>
      </w:r>
      <w:r>
        <w:rPr>
          <w:rFonts w:ascii="Times New Roman" w:hAnsi="Times New Roman"/>
          <w:b w:val="false"/>
          <w:i w:val="false"/>
          <w:color w:val="000000"/>
          <w:sz w:val="24"/>
        </w:rPr>
        <w:t>Payment will be approved for ambulance service if it is required by the recipient’s condition and the recipient is transported to the nearest hospital with appropriate facilities or to one in the same locality, from one hospital to another, to the patient’s home, to a nursing facility, or to a mental health access center. Payment for ambulance service to the nearest hospital for outpatient service will be approved only for emergency treatment. Ambulance service must be medically necessary and not merely for the convenience of the patient.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78.11(1)</w:t>
      </w:r>
      <w:r>
        <w:rPr>
          <w:rFonts w:ascii="Times New Roman" w:hAnsi="Times New Roman"/>
          <w:b w:val="false"/>
          <w:i w:val="false"/>
          <w:color w:val="000000"/>
          <w:sz w:val="24"/>
        </w:rPr>
        <w:t> </w:t>
      </w:r>
      <w:r>
        <w:rPr>
          <w:rFonts w:ascii="Times New Roman" w:hAnsi="Times New Roman"/>
          <w:b w:val="false"/>
          <w:i w:val="false"/>
          <w:color w:val="000000"/>
          <w:sz w:val="24"/>
        </w:rPr>
        <w:t>Partial payment may be made when an individual is transported beyond the destinations specified, and is limited to the amount that would have been paid had the individual been transported to the nearest institution with appropriate facilities. When transportation is to the patient’s home, partial payment is limited to the amount that would have been paid from the nearest institution with appropriate facilities. When a recipient who is a resident of a nursing care facility is hospitalized and later discharged from the hospital, payment will be made for the trip to the nursing care facility where the recipient resides even though it may not in fact be the nearest nursing care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78.11(2)</w:t>
      </w:r>
      <w:r>
        <w:rPr>
          <w:rFonts w:ascii="Times New Roman" w:hAnsi="Times New Roman"/>
          <w:b w:val="false"/>
          <w:i w:val="false"/>
          <w:color w:val="000000"/>
          <w:sz w:val="24"/>
        </w:rPr>
        <w:t> </w:t>
      </w:r>
      <w:r>
        <w:rPr>
          <w:rFonts w:ascii="Times New Roman" w:hAnsi="Times New Roman"/>
          <w:b w:val="false"/>
          <w:i w:val="false"/>
          <w:color w:val="000000"/>
          <w:sz w:val="24"/>
        </w:rPr>
        <w:t>Iowa Medicaid will determine that the ambulance transportation was medically necessary and that the condition of the patient precluded any other method of transportation. Payment can be made without the physician’s confirmation when: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individual is admitted as a hospital inpatient or is in an emergency situation.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Previous information on file relating to the patient’s condition clearly indicates ambulance service was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78.11(3)</w:t>
      </w:r>
      <w:r>
        <w:rPr>
          <w:rFonts w:ascii="Times New Roman" w:hAnsi="Times New Roman"/>
          <w:b w:val="false"/>
          <w:i w:val="false"/>
          <w:color w:val="000000"/>
          <w:sz w:val="24"/>
        </w:rPr>
        <w:t> </w:t>
      </w:r>
      <w:r>
        <w:rPr>
          <w:rFonts w:ascii="Times New Roman" w:hAnsi="Times New Roman"/>
          <w:b w:val="false"/>
          <w:i w:val="false"/>
          <w:color w:val="000000"/>
          <w:sz w:val="24"/>
        </w:rPr>
        <w:t>When a patient is transferred from one nursing home to another because of the closing of a facility or from a nursing home to a custodial home because the recipient no longer requires nursing care, the conditions of medical necessity and the distance requirements will not be applicable. Approval for transfer will be made by the department prior to the transfer. When such a transfer is made, the following rate schedule will apply:</w:t>
      </w:r>
    </w:p>
    <w:p>
      <w:pPr>
        <w:spacing w:before="0" w:after="0" w:line="480"/>
        <w:ind w:left="120"/>
        <w:jc w:val="both"/>
      </w:pPr>
      <w:r>
        <w:rPr>
          <w:rFonts w:ascii="Times New Roman" w:hAnsi="Times New Roman"/>
          <w:b w:val="false"/>
          <w:i w:val="false"/>
          <w:color w:val="000000"/>
          <w:sz w:val="24"/>
        </w:rPr>
        <w:t>One patient - normal allowance</w:t>
      </w:r>
    </w:p>
    <w:p>
      <w:pPr>
        <w:spacing w:before="0" w:after="0" w:line="480"/>
        <w:ind w:left="120"/>
        <w:jc w:val="both"/>
      </w:pPr>
      <w:r>
        <w:rPr>
          <w:rFonts w:ascii="Times New Roman" w:hAnsi="Times New Roman"/>
          <w:b w:val="false"/>
          <w:i w:val="false"/>
          <w:color w:val="000000"/>
          <w:sz w:val="24"/>
        </w:rPr>
        <w:t>Two patients - 3/4 normal allowance per patient</w:t>
      </w:r>
    </w:p>
    <w:p>
      <w:pPr>
        <w:spacing w:before="0" w:after="0" w:line="480"/>
        <w:ind w:left="120"/>
        <w:jc w:val="both"/>
      </w:pPr>
      <w:r>
        <w:rPr>
          <w:rFonts w:ascii="Times New Roman" w:hAnsi="Times New Roman"/>
          <w:b w:val="false"/>
          <w:i w:val="false"/>
          <w:color w:val="000000"/>
          <w:sz w:val="24"/>
        </w:rPr>
        <w:t>Three patients - 2/3 normal allowance per patient</w:t>
      </w:r>
    </w:p>
    <w:p>
      <w:pPr>
        <w:spacing w:before="0" w:after="0" w:line="480"/>
        <w:ind w:left="120"/>
        <w:jc w:val="both"/>
      </w:pPr>
      <w:r>
        <w:rPr>
          <w:rFonts w:ascii="Times New Roman" w:hAnsi="Times New Roman"/>
          <w:b w:val="false"/>
          <w:i w:val="false"/>
          <w:color w:val="000000"/>
          <w:sz w:val="24"/>
        </w:rPr>
        <w:t>Four patients - 5/8 normal allowance per patient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78.11(4)</w:t>
      </w:r>
      <w:r>
        <w:rPr>
          <w:rFonts w:ascii="Times New Roman" w:hAnsi="Times New Roman"/>
          <w:b w:val="false"/>
          <w:i w:val="false"/>
          <w:color w:val="000000"/>
          <w:sz w:val="24"/>
        </w:rPr>
        <w:t> </w:t>
      </w:r>
      <w:r>
        <w:rPr>
          <w:rFonts w:ascii="Times New Roman" w:hAnsi="Times New Roman"/>
          <w:b w:val="false"/>
          <w:i w:val="false"/>
          <w:color w:val="000000"/>
          <w:sz w:val="24"/>
        </w:rPr>
        <w:t xml:space="preserve">Transportation of hospital inpatients. When an ambulance service provides transport of a hospital inpatient to a provider and returns the recipient to the same hospital (the recipient continuing to be an inpatient of the hospital), the ambulance service shall bill the hospital for reimbursement as the hospital’s DRG reimbursement system includes all costs associated with providing inpatient services as stated in </w:t>
      </w:r>
      <w:hyperlink r:id="rId109">
        <w:r>
          <w:rPr>
            <w:rStyle w:val="Hyperlink"/>
            <w:rFonts w:ascii="Times New Roman" w:hAnsi="Times New Roman"/>
            <w:b w:val="false"/>
            <w:i w:val="false"/>
            <w:color w:val="000000"/>
            <w:sz w:val="24"/>
          </w:rPr>
          <w:t>441—paragraph 79.1(5)</w:t>
        </w:r>
        <w:r>
          <w:rPr>
            <w:rFonts w:ascii="Times New Roman" w:hAnsi="Times New Roman"/>
            <w:b w:val="false"/>
            <w:i/>
            <w:color w:val="000000"/>
            <w:sz w:val="24"/>
          </w:rPr>
          <w:t>“j.”</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78.11(5)</w:t>
      </w:r>
      <w:r>
        <w:rPr>
          <w:rFonts w:ascii="Times New Roman" w:hAnsi="Times New Roman"/>
          <w:b w:val="false"/>
          <w:i w:val="false"/>
          <w:color w:val="000000"/>
          <w:sz w:val="24"/>
        </w:rPr>
        <w:t> </w:t>
      </w:r>
      <w:r>
        <w:rPr>
          <w:rFonts w:ascii="Times New Roman" w:hAnsi="Times New Roman"/>
          <w:b w:val="false"/>
          <w:i w:val="false"/>
          <w:color w:val="000000"/>
          <w:sz w:val="24"/>
        </w:rPr>
        <w:t>In the event that more than one ambulance service is called to provide ground ambulance transport, payment will be made only to one ambulance company. When a paramedic from one ambulance service joins a ground ambulance company already in transport, coverage is not available for the services and supplies provided by the paramedic.</w:t>
      </w:r>
    </w:p>
    <w:p>
      <w:pPr>
        <w:spacing w:before="0" w:after="0" w:line="480"/>
        <w:ind w:left="120"/>
        <w:jc w:val="both"/>
      </w:pPr>
      <w:r>
        <w:rPr>
          <w:rFonts w:ascii="Times New Roman" w:hAnsi="Times New Roman"/>
          <w:b/>
          <w:i w:val="false"/>
          <w:color w:val="000000"/>
          <w:sz w:val="24"/>
        </w:rPr>
        <w:t>441—78.12</w:t>
      </w:r>
      <w:r>
        <w:rPr>
          <w:rFonts w:ascii="Times New Roman" w:hAnsi="Times New Roman"/>
          <w:b/>
          <w:i w:val="false"/>
          <w:color w:val="000000"/>
          <w:sz w:val="24"/>
        </w:rPr>
        <w:t xml:space="preserve">(249A) </w:t>
      </w:r>
      <w:r>
        <w:rPr>
          <w:rFonts w:ascii="Times New Roman" w:hAnsi="Times New Roman"/>
          <w:b/>
          <w:i w:val="false"/>
          <w:color w:val="000000"/>
          <w:sz w:val="24"/>
        </w:rPr>
        <w:t xml:space="preserve">Behavioral health intervention. </w:t>
      </w:r>
      <w:r>
        <w:rPr>
          <w:rFonts w:ascii="Times New Roman" w:hAnsi="Times New Roman"/>
          <w:b w:val="false"/>
          <w:i w:val="false"/>
          <w:color w:val="000000"/>
          <w:sz w:val="24"/>
        </w:rPr>
        <w:t>Payment will be made for behavioral health intervention services not otherwise covered under this chapter that are designed to minimize or, if possible, eliminate the symptoms or causes of a mental disorder, subject to the limitations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78.12(1)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“Behavioral health intervention” </w:t>
      </w:r>
      <w:r>
        <w:rPr>
          <w:rFonts w:ascii="Times New Roman" w:hAnsi="Times New Roman"/>
          <w:b w:val="false"/>
          <w:i w:val="false"/>
          <w:color w:val="000000"/>
          <w:sz w:val="24"/>
        </w:rPr>
        <w:t>means skill-building services that focus on:</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Addressing the mental and functional disabilities that negatively affect a member’s integration and stability in the community and quality of life;</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Improving a member’s health and well-being related to the member’s mental disorder by reducing or managing the symptoms or behaviors that prevent the member from functioning at the member’s best possible functional level; and</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Promoting a member’s mental health recovery and resilience through increasing the member’s ability to manage symptoms.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“Licensed practitioner of the healing arts”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“LPHA,” </w:t>
      </w:r>
      <w:r>
        <w:rPr>
          <w:rFonts w:ascii="Times New Roman" w:hAnsi="Times New Roman"/>
          <w:b w:val="false"/>
          <w:i w:val="false"/>
          <w:color w:val="000000"/>
          <w:sz w:val="24"/>
        </w:rPr>
        <w:t>as used in this rule, means a practitioner such as a physician (M.D. or D.O.), a PA, an ARNP, a psychologist, a social worker (LMSW or LISW), a marital and family therapist (LMFT), or a mental health counselor (LMHC) who is licensed by the applicable state authority for that profession.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“Managed care organization” </w:t>
      </w:r>
      <w:r>
        <w:rPr>
          <w:rFonts w:ascii="Times New Roman" w:hAnsi="Times New Roman"/>
          <w:b w:val="false"/>
          <w:i w:val="false"/>
          <w:color w:val="000000"/>
          <w:sz w:val="24"/>
        </w:rPr>
        <w:t xml:space="preserve">means an entity that (1) is under contract with the department to provide services to Medicaid recipients and (2) meets the definition of “health maintenance organization” as defined in Iowa Code section </w:t>
      </w:r>
      <w:hyperlink r:id="rId110">
        <w:r>
          <w:rPr>
            <w:rStyle w:val="Hyperlink"/>
            <w:rFonts w:ascii="Times New Roman" w:hAnsi="Times New Roman"/>
            <w:b w:val="false"/>
            <w:i w:val="false"/>
            <w:color w:val="000000"/>
            <w:sz w:val="24"/>
          </w:rPr>
          <w:t>514B.1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“Mental disorder” </w:t>
      </w:r>
      <w:r>
        <w:rPr>
          <w:rFonts w:ascii="Times New Roman" w:hAnsi="Times New Roman"/>
          <w:b w:val="false"/>
          <w:i w:val="false"/>
          <w:color w:val="000000"/>
          <w:sz w:val="24"/>
        </w:rPr>
        <w:t>means a disorder, dysfunction, or dysphoria diagnosed pursuant to the Diagnostic and Statistical Manual of Mental Disorders published by the American Psychiatric Association as amended to July 1, 2026, excluding intellectual disabilities, personality disorders, medication-induced movement disorders and other adverse effects of medication, and other conditions that may be a focus of clinical attention.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78.12(2)</w:t>
      </w:r>
      <w:r>
        <w:rPr>
          <w:rFonts w:ascii="Times New Roman" w:hAnsi="Times New Roman"/>
          <w:b w:val="false"/>
          <w:i w:val="false"/>
          <w:color w:val="000000"/>
          <w:sz w:val="24"/>
        </w:rPr>
        <w:t> </w:t>
      </w:r>
      <w:r>
        <w:rPr>
          <w:rFonts w:ascii="Times New Roman" w:hAnsi="Times New Roman"/>
          <w:b w:val="false"/>
          <w:i/>
          <w:color w:val="000000"/>
          <w:sz w:val="24"/>
        </w:rPr>
        <w:t xml:space="preserve">Covered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Service setting.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Community-based behavioral health intervention is available to a member living in a community-based environment. Services have a primary goal of assisting the member and the member’s family to learn age-appropriate skills to manage behavior and regain or retain self-control. Depending on the member’s age and diagnosis, specific services offered may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Behavior intervention,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Crisis intervention,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Skill training and development,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Family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Residential behavioral health intervention is available to members eligible for foster group care payment pursuant to </w:t>
      </w:r>
      <w:hyperlink r:id="rId111">
        <w:r>
          <w:rPr>
            <w:rStyle w:val="Hyperlink"/>
            <w:rFonts w:ascii="Times New Roman" w:hAnsi="Times New Roman"/>
            <w:b w:val="false"/>
            <w:i w:val="false"/>
            <w:color w:val="000000"/>
            <w:sz w:val="24"/>
          </w:rPr>
          <w:t>441—subrule 156.20(1)</w:t>
        </w:r>
      </w:hyperlink>
      <w:r>
        <w:rPr>
          <w:rFonts w:ascii="Times New Roman" w:hAnsi="Times New Roman"/>
          <w:b w:val="false"/>
          <w:i w:val="false"/>
          <w:color w:val="000000"/>
          <w:sz w:val="24"/>
        </w:rPr>
        <w:t>. Services have the primary goal of assisting the member to prepare to transition to the community through learning age-appropriate skills to manage behavior and regain or retain self-control. Specific services offered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Behavior intervention,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Crisis intervention,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Family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Behavioral health intervention is not covered for members who are in an acute care or psychiatric hospital, a long-term care facility, or a psychiatric medical institution for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Crisis intervention. </w:t>
      </w:r>
      <w:r>
        <w:rPr>
          <w:rFonts w:ascii="Times New Roman" w:hAnsi="Times New Roman"/>
          <w:b w:val="false"/>
          <w:i w:val="false"/>
          <w:color w:val="000000"/>
          <w:sz w:val="24"/>
        </w:rPr>
        <w:t>Crisis intervention services shall provide a focused intervention and rapid stabilization of acute symptoms of mental illness or emotional distress. The intervention shall be designed to de-escalate situations in which a risk to self, others, or property exists.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Services shall assist a member to regain self-control and reestablish effective management of behavioral symptoms associated with a psychological disorder in an age-appropriate manner.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Crisis intervention is covered only for Medicaid members who are aged 20 or under and shall be provided as outlined in a written treatment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Crisis intervention services do not include control room or other restraint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Behavior intervention. </w:t>
      </w:r>
      <w:r>
        <w:rPr>
          <w:rFonts w:ascii="Times New Roman" w:hAnsi="Times New Roman"/>
          <w:b w:val="false"/>
          <w:i w:val="false"/>
          <w:color w:val="000000"/>
          <w:sz w:val="24"/>
        </w:rPr>
        <w:t>Behavior intervention includes services designed to modify the psychological, behavioral, emotional, cognitive, and social factors affecting a member’s functioning.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Interventions may address the following skills for effective functioning with family, peers, and community in an age-appropriate manner: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Cognitive flexibility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Communication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Conflict resolution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Emotional regulation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Executive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Interpersonal relationship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Problem-solving skills,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Social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Behavior intervention shall be provided in a location appropriate for skill identification, teaching and development. Intervention may be provided in an individual, family, or group format as appropriate to meet the member’s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Behavior intervention is covered only for Medicaid members aged 20 or under.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Covered services include only direct teaching or development of skills and not general recreation, non-skill-based activities, mentoring, or interruption of school.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Family training. </w:t>
      </w:r>
      <w:r>
        <w:rPr>
          <w:rFonts w:ascii="Times New Roman" w:hAnsi="Times New Roman"/>
          <w:b w:val="false"/>
          <w:i w:val="false"/>
          <w:color w:val="000000"/>
          <w:sz w:val="24"/>
        </w:rPr>
        <w:t>Family training is covered only for Medicaid members aged 20 or under.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Family training services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Enhance the family’s ability to effectively interact with the child and support the child’s functioning in the home and community,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Teach parents to identify and implement strategies to reduce target behaviors and reinforce the appropriate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Training provided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for the direct benefit of the member,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 based on a curriculum with a training manual.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Skill training and development. </w:t>
      </w:r>
      <w:r>
        <w:rPr>
          <w:rFonts w:ascii="Times New Roman" w:hAnsi="Times New Roman"/>
          <w:b w:val="false"/>
          <w:i w:val="false"/>
          <w:color w:val="000000"/>
          <w:sz w:val="24"/>
        </w:rPr>
        <w:t>Skill training and development services are covered for Medicaid members aged 18 or over.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Skill training and development shall consist of interventions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Enhance a member’s independent living, social, and communication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Minimize or eliminate psychological barriers to a member’s ability to effectively manage symptoms associated with a psychological disorder;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Maximize a member’s ability to live and participate in the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Interventions may include training in the following skills for effective functioning with family, peers, and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Communication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Conflict resolution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Daily living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Employment-related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Interpersonal relationship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Problem-solving skills,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Social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78.12(3)</w:t>
      </w:r>
      <w:r>
        <w:rPr>
          <w:rFonts w:ascii="Times New Roman" w:hAnsi="Times New Roman"/>
          <w:b w:val="false"/>
          <w:i w:val="false"/>
          <w:color w:val="000000"/>
          <w:sz w:val="24"/>
        </w:rPr>
        <w:t> </w:t>
      </w:r>
      <w:r>
        <w:rPr>
          <w:rFonts w:ascii="Times New Roman" w:hAnsi="Times New Roman"/>
          <w:b w:val="false"/>
          <w:i/>
          <w:color w:val="000000"/>
          <w:sz w:val="24"/>
        </w:rPr>
        <w:t xml:space="preserve">Excluded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Services that are habilitative in nature are not covered as behavioral health interventions. For purposes of this subrule, “habilitative services” means services that are designed to assist individuals in acquiring skills that they never had, as well as associated training to acquire self-help, socialization, and adaptive skills necessary to reside successfully in a home or community setting.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Respite, day care, education, and recreation services are not covered as behavioral health interventions.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78.12(4)</w:t>
      </w:r>
      <w:r>
        <w:rPr>
          <w:rFonts w:ascii="Times New Roman" w:hAnsi="Times New Roman"/>
          <w:b w:val="false"/>
          <w:i w:val="false"/>
          <w:color w:val="000000"/>
          <w:sz w:val="24"/>
        </w:rPr>
        <w:t> </w:t>
      </w:r>
      <w:r>
        <w:rPr>
          <w:rFonts w:ascii="Times New Roman" w:hAnsi="Times New Roman"/>
          <w:b w:val="false"/>
          <w:i/>
          <w:color w:val="000000"/>
          <w:sz w:val="24"/>
        </w:rPr>
        <w:t xml:space="preserve">Coverage requirements. </w:t>
      </w:r>
      <w:r>
        <w:rPr>
          <w:rFonts w:ascii="Times New Roman" w:hAnsi="Times New Roman"/>
          <w:b w:val="false"/>
          <w:i w:val="false"/>
          <w:color w:val="000000"/>
          <w:sz w:val="24"/>
        </w:rPr>
        <w:t>Medicaid covers behavioral health intervention only when the following conditions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licensed practitioner of the healing arts acting within the practitioner’s scope of practice under state law has diagnosed the member with a psychological disorder.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licensed practitioner of the healing arts has recommended the behavioral health intervention as part of a plan of treatment designed to treat the member’s psychological disorder. The plan of treatment shall be comprehensive in nature and shall detail all behavioral health services that the member may require, not only services included under behavioral health intervention.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member’s need for services must meet specific individual goals that are focused to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Risk of harm to self or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Behavioral support in the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Specific skills impaired due to the member’s mental illness,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Needs of children at risk of out-of-home placement due to mental health needs or the transition back to the community or home following an out-of-home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Diagnosis and treatment plan development are covered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For a member under the age of 21, the licensed practitioner of the healing arts: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Has, in cooperation with the managed care contractor, selected a standardized assessment instrument appropriate for baseline measurement of the member’s current skill level in managing mental health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Has completed an initial formal assessment of the member using the instrument selected;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Completes a formal assessment every six months thereafter if continued services are ordered.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behavioral health intervention provider has prepared a written services implementation plan that meets the requirements of subrule </w:t>
      </w:r>
      <w:hyperlink r:id="rId112">
        <w:r>
          <w:rPr>
            <w:rStyle w:val="Hyperlink"/>
            <w:rFonts w:ascii="Times New Roman" w:hAnsi="Times New Roman"/>
            <w:b w:val="false"/>
            <w:i w:val="false"/>
            <w:color w:val="000000"/>
            <w:sz w:val="24"/>
          </w:rPr>
          <w:t>78.12(5)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78.12(5)</w:t>
      </w:r>
      <w:r>
        <w:rPr>
          <w:rFonts w:ascii="Times New Roman" w:hAnsi="Times New Roman"/>
          <w:b w:val="false"/>
          <w:i w:val="false"/>
          <w:color w:val="000000"/>
          <w:sz w:val="24"/>
        </w:rPr>
        <w:t> </w:t>
      </w:r>
      <w:r>
        <w:rPr>
          <w:rFonts w:ascii="Times New Roman" w:hAnsi="Times New Roman"/>
          <w:b w:val="false"/>
          <w:i/>
          <w:color w:val="000000"/>
          <w:sz w:val="24"/>
        </w:rPr>
        <w:t xml:space="preserve">Approval of plan. </w:t>
      </w:r>
      <w:r>
        <w:rPr>
          <w:rFonts w:ascii="Times New Roman" w:hAnsi="Times New Roman"/>
          <w:b w:val="false"/>
          <w:i w:val="false"/>
          <w:color w:val="000000"/>
          <w:sz w:val="24"/>
        </w:rPr>
        <w:t>The behavioral health intervention provider shall contact the member’s managed care plan for authorization of the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Initial plan. </w:t>
      </w:r>
      <w:r>
        <w:rPr>
          <w:rFonts w:ascii="Times New Roman" w:hAnsi="Times New Roman"/>
          <w:b w:val="false"/>
          <w:i w:val="false"/>
          <w:color w:val="000000"/>
          <w:sz w:val="24"/>
        </w:rPr>
        <w:t>The initial services implementation plan must meet all of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plan conforms to the medical necessity requirements in subrule </w:t>
      </w:r>
      <w:hyperlink r:id="rId113">
        <w:r>
          <w:rPr>
            <w:rStyle w:val="Hyperlink"/>
            <w:rFonts w:ascii="Times New Roman" w:hAnsi="Times New Roman"/>
            <w:b w:val="false"/>
            <w:i w:val="false"/>
            <w:color w:val="000000"/>
            <w:sz w:val="24"/>
          </w:rPr>
          <w:t>78.12(6)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plan is consistent with the written diagnosis and treatment recommendations made by the licensed practitioner of the healing arts;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plan is sufficient in amount, duration, and scope to reasonably achieve its purpose;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provider meets the requirements of rule </w:t>
      </w:r>
      <w:hyperlink r:id="rId114">
        <w:r>
          <w:rPr>
            <w:rStyle w:val="Hyperlink"/>
            <w:rFonts w:ascii="Times New Roman" w:hAnsi="Times New Roman"/>
            <w:b w:val="false"/>
            <w:i w:val="false"/>
            <w:color w:val="000000"/>
            <w:sz w:val="24"/>
          </w:rPr>
          <w:t>441—77.13</w:t>
        </w:r>
      </w:hyperlink>
      <w:r>
        <w:rPr>
          <w:rFonts w:ascii="Times New Roman" w:hAnsi="Times New Roman"/>
          <w:b w:val="false"/>
          <w:i w:val="false"/>
          <w:color w:val="000000"/>
          <w:sz w:val="24"/>
        </w:rPr>
        <w:t>(249A);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plan does not exceed six months’ duration.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Subsequent plans. </w:t>
      </w:r>
      <w:r>
        <w:rPr>
          <w:rFonts w:ascii="Times New Roman" w:hAnsi="Times New Roman"/>
          <w:b w:val="false"/>
          <w:i w:val="false"/>
          <w:color w:val="000000"/>
          <w:sz w:val="24"/>
        </w:rPr>
        <w:t xml:space="preserve">The member’s managed care plan may approve a subsequent services implementation plan according to the conditions in paragraph </w:t>
      </w:r>
      <w:hyperlink r:id="rId115">
        <w:r>
          <w:rPr>
            <w:rStyle w:val="Hyperlink"/>
            <w:rFonts w:ascii="Times New Roman" w:hAnsi="Times New Roman"/>
            <w:b w:val="false"/>
            <w:i w:val="false"/>
            <w:color w:val="000000"/>
            <w:sz w:val="24"/>
          </w:rPr>
          <w:t>78.12(5)</w:t>
        </w:r>
        <w:r>
          <w:rPr>
            <w:rFonts w:ascii="Times New Roman" w:hAnsi="Times New Roman"/>
            <w:b w:val="false"/>
            <w:i/>
            <w:color w:val="000000"/>
            <w:sz w:val="24"/>
          </w:rPr>
          <w:t>“a”</w:t>
        </w:r>
      </w:hyperlink>
      <w:r>
        <w:rPr>
          <w:rFonts w:ascii="Times New Roman" w:hAnsi="Times New Roman"/>
          <w:b w:val="false"/>
          <w:i w:val="false"/>
          <w:color w:val="000000"/>
          <w:sz w:val="24"/>
        </w:rPr>
        <w:t xml:space="preserve"> if the services are recommended by a licensed practitioner of the healing arts who has: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Reexamined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Reviewed the original diagnosis and treatment plan;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Evaluated the member’s progress, including a formal assessment as required by subparagraph </w:t>
      </w:r>
      <w:hyperlink r:id="rId116">
        <w:r>
          <w:rPr>
            <w:rStyle w:val="Hyperlink"/>
            <w:rFonts w:ascii="Times New Roman" w:hAnsi="Times New Roman"/>
            <w:b w:val="false"/>
            <w:i w:val="false"/>
            <w:color w:val="000000"/>
            <w:sz w:val="24"/>
          </w:rPr>
          <w:t>78.12(4)</w:t>
        </w:r>
        <w:r>
          <w:rPr>
            <w:rFonts w:ascii="Times New Roman" w:hAnsi="Times New Roman"/>
            <w:b w:val="false"/>
            <w:i/>
            <w:color w:val="000000"/>
            <w:sz w:val="24"/>
          </w:rPr>
          <w:t>“c”</w:t>
        </w:r>
        <w:r>
          <w:rPr>
            <w:rFonts w:ascii="Times New Roman" w:hAnsi="Times New Roman"/>
            <w:b w:val="false"/>
            <w:i w:val="false"/>
            <w:color w:val="000000"/>
            <w:sz w:val="24"/>
          </w:rPr>
          <w:t>(3)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78.12(6)</w:t>
      </w:r>
      <w:r>
        <w:rPr>
          <w:rFonts w:ascii="Times New Roman" w:hAnsi="Times New Roman"/>
          <w:b w:val="false"/>
          <w:i w:val="false"/>
          <w:color w:val="000000"/>
          <w:sz w:val="24"/>
        </w:rPr>
        <w:t> </w:t>
      </w:r>
      <w:r>
        <w:rPr>
          <w:rFonts w:ascii="Times New Roman" w:hAnsi="Times New Roman"/>
          <w:b w:val="false"/>
          <w:i/>
          <w:color w:val="000000"/>
          <w:sz w:val="24"/>
        </w:rPr>
        <w:t xml:space="preserve">Medical necessity. </w:t>
      </w:r>
      <w:r>
        <w:rPr>
          <w:rFonts w:ascii="Times New Roman" w:hAnsi="Times New Roman"/>
          <w:b w:val="false"/>
          <w:i w:val="false"/>
          <w:color w:val="000000"/>
          <w:sz w:val="24"/>
        </w:rPr>
        <w:t>Nothing in this rule shall be deemed to exempt coverage of behavioral health intervention from the requirement that services be medically necessary. For purposes of behavioral health intervention, “medically necessary” means that the service 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Consistent with the diagnosis and treatment of the member’s condition and specific to a daily impairment caused by a mental disorder;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Required to meet the medical needs of the member and is needed for reasons other than the convenience of the member or the member’s caregiver;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least costly type of service that can reasonably meet the medical needs of the member;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 accordance with the standards of evidence-based medical practice. The standards of practice for each field of medical and remedial care covered by the Iowa Medicaid program are those standards of practice identified by: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Knowledgeable Iowa clinicians practicing or teaching in the field;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professional literature regarding evidence-based practices in the field.</w:t>
      </w:r>
    </w:p>
    <w:p>
      <w:pPr>
        <w:spacing w:before="0" w:after="0" w:line="480"/>
        <w:ind w:left="120"/>
        <w:jc w:val="both"/>
      </w:pPr>
      <w:r>
        <w:rPr>
          <w:rFonts w:ascii="Times New Roman" w:hAnsi="Times New Roman"/>
          <w:b/>
          <w:i w:val="false"/>
          <w:color w:val="000000"/>
          <w:sz w:val="24"/>
        </w:rPr>
        <w:t>441—78.13</w:t>
      </w:r>
      <w:r>
        <w:rPr>
          <w:rFonts w:ascii="Times New Roman" w:hAnsi="Times New Roman"/>
          <w:b/>
          <w:i w:val="false"/>
          <w:color w:val="000000"/>
          <w:sz w:val="24"/>
        </w:rPr>
        <w:t xml:space="preserve">(249A) </w:t>
      </w:r>
      <w:r>
        <w:rPr>
          <w:rFonts w:ascii="Times New Roman" w:hAnsi="Times New Roman"/>
          <w:b/>
          <w:i w:val="false"/>
          <w:color w:val="000000"/>
          <w:sz w:val="24"/>
        </w:rPr>
        <w:t xml:space="preserve">Nonemergency medical transportation. </w:t>
      </w:r>
      <w:r>
        <w:rPr>
          <w:rFonts w:ascii="Times New Roman" w:hAnsi="Times New Roman"/>
          <w:b w:val="false"/>
          <w:i w:val="false"/>
          <w:color w:val="000000"/>
          <w:sz w:val="24"/>
        </w:rPr>
        <w:t>The department makes available nonemergency medical transportation through a transportation brokerage. Medicaid members who are eligible for full Medicaid benefits and need transportation services so they can receive Medicaid-covered services from providers enrolled with the Iowa Medicaid program may obtain transportation services consistent with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78.13(1)</w:t>
      </w:r>
      <w:r>
        <w:rPr>
          <w:rFonts w:ascii="Times New Roman" w:hAnsi="Times New Roman"/>
          <w:b w:val="false"/>
          <w:i w:val="false"/>
          <w:color w:val="000000"/>
          <w:sz w:val="24"/>
        </w:rPr>
        <w:t> </w:t>
      </w:r>
      <w:r>
        <w:rPr>
          <w:rFonts w:ascii="Times New Roman" w:hAnsi="Times New Roman"/>
          <w:b w:val="false"/>
          <w:i/>
          <w:color w:val="000000"/>
          <w:sz w:val="24"/>
        </w:rPr>
        <w:t xml:space="preserve">Covered services. </w:t>
      </w:r>
      <w:r>
        <w:rPr>
          <w:rFonts w:ascii="Times New Roman" w:hAnsi="Times New Roman"/>
          <w:b w:val="false"/>
          <w:i w:val="false"/>
          <w:color w:val="000000"/>
          <w:sz w:val="24"/>
        </w:rPr>
        <w:t xml:space="preserve">Nonemergency medical transportation services available are limited to: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most economical transportation appropriate to the needs of the member, provided to members eligible for nonemergency transportation when those members need transportation to providers enrolled in the Iowa Medicaid program for the receipt of goods or services covered by the Iowa Medicaid program. Consistent with the member’s needs and subject to the limitations and restrictions set forth in this rule, subject to the advance approval of the broker, such transportation may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Mileage reimbursement to the member, if the member is the driver.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Mileage reimbursement to a volunteer or other responsible person, if the volunteer or other responsible person is the driver.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Taxi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Public transportation when public transportation is reasonably available and the member’s condition does not preclude its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Wheelchair and stretcher vans.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Airfare costs when the most appropriate mode of transport is by air, based on the member’s medical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Reimbursement for costs of the member’s meals necessary during periods of transportation and medical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Reimbursement of lodging expenses incurred by the member during periods of transportation and medical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Reimbursement of car rental costs incurred by the member during periods of transportation and medical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Reimbursement of a medically necessary escort’s travel expenses when an escort is required because of the member’s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78.13(2)</w:t>
      </w:r>
      <w:r>
        <w:rPr>
          <w:rFonts w:ascii="Times New Roman" w:hAnsi="Times New Roman"/>
          <w:b w:val="false"/>
          <w:i w:val="false"/>
          <w:color w:val="000000"/>
          <w:sz w:val="24"/>
        </w:rPr>
        <w:t> </w:t>
      </w:r>
      <w:r>
        <w:rPr>
          <w:rFonts w:ascii="Times New Roman" w:hAnsi="Times New Roman"/>
          <w:b w:val="false"/>
          <w:i/>
          <w:color w:val="000000"/>
          <w:sz w:val="24"/>
        </w:rPr>
        <w:t xml:space="preserve">Exclusions. </w:t>
      </w:r>
      <w:r>
        <w:rPr>
          <w:rFonts w:ascii="Times New Roman" w:hAnsi="Times New Roman"/>
          <w:b w:val="false"/>
          <w:i w:val="false"/>
          <w:color w:val="000000"/>
          <w:sz w:val="24"/>
        </w:rPr>
        <w:t>Nonemergency medical transportation is not available through the Iowa Medicaid program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Transportation to obtain services not covered by Iowa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Transportation to providers that are not enrolled in Iowa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Transportation for members residing in nursing facilities or ICF/ID facilities when such facilities provide the transportation (i.e., within 30 miles, one way,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Transportation of family members to visit or participate in therapy when the member is hospitalized or institutionalized;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Transportation to DME providers when such providers offer a delivery service that can be accessed at no cost to the member, unless the equipment requires a fitting that cannot be provided without transporting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Reimbursement to HCBS and Medicaid providers for transportation provided as part of other covered services, such as personal care, home health, and supported community living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Transportation to a pharmacy that provides a free delivery service, with the exception of new prescription fills that are otherwise not available to the patient in the absence of nonemergency medical transportation services;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Emergency transportation.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78.13(3)</w:t>
      </w:r>
      <w:r>
        <w:rPr>
          <w:rFonts w:ascii="Times New Roman" w:hAnsi="Times New Roman"/>
          <w:b w:val="false"/>
          <w:i w:val="false"/>
          <w:color w:val="000000"/>
          <w:sz w:val="24"/>
        </w:rPr>
        <w:t> </w:t>
      </w:r>
      <w:r>
        <w:rPr>
          <w:rFonts w:ascii="Times New Roman" w:hAnsi="Times New Roman"/>
          <w:b w:val="false"/>
          <w:i/>
          <w:color w:val="000000"/>
          <w:sz w:val="24"/>
        </w:rPr>
        <w:t xml:space="preserve">Conditions and limitations on covered services. </w:t>
      </w:r>
      <w:r>
        <w:rPr>
          <w:rFonts w:ascii="Times New Roman" w:hAnsi="Times New Roman"/>
          <w:b w:val="false"/>
          <w:i w:val="false"/>
          <w:color w:val="000000"/>
          <w:sz w:val="24"/>
        </w:rPr>
        <w:t>Nonemergency medical transportation services are subject to the following limitations and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Member request. </w:t>
      </w:r>
      <w:r>
        <w:rPr>
          <w:rFonts w:ascii="Times New Roman" w:hAnsi="Times New Roman"/>
          <w:b w:val="false"/>
          <w:i w:val="false"/>
          <w:color w:val="000000"/>
          <w:sz w:val="24"/>
        </w:rPr>
        <w:t>When a member needs nonemergency transportation to receive medical care provided by the Iowa Medicaid program, the member must contact the broker with as much advance notice as possible, but not more than 30 days’ advance notice.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Generally, members who require a ride from a transportation provider scheduled by the broker must contact the broker at least two business days in advance of the member’s appointment to schedule the transportation. For purposes of calculating the two-business-day notice obligation, the advance notice includes the day of the medical appointment but not the day of the telephone call.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member’s nonemergency transportation need for a ride from a transportation provider scheduled by the broker makes the provision of two business days’ notice impossible because of the member’s urgent transportation need, the member must provide as much advance notice as is possible before the transportation need so that the broker can appropriately schedule the most economical form of transportation for the member. Urgent transportation needs for a ride from a transportation provider scheduled by the broker are limited to unscheduled episodic situations in which there is no immediate threat to life or limb but which require that the broker schedule transportation with less than two business days’ notice. Examples of urgent trips include but are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Postsurgical or medical follow-up care specified by a health care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Unexpected preoperative appointments;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Hospital discharges;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Appointments for new medical conditions or tests;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Dialysis.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two-business-day advance notice obligation does not apply when the member requests only mileage reimbursement. To be eligible for mileage reimbursement: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member must notify the broker no later than the day of the trip;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transportation must be provided by a driver with a valid driver’s license and insurance coverage on the vehicle at the time of the transport;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other requirements of rule </w:t>
      </w:r>
      <w:hyperlink r:id="rId117">
        <w:r>
          <w:rPr>
            <w:rStyle w:val="Hyperlink"/>
            <w:rFonts w:ascii="Times New Roman" w:hAnsi="Times New Roman"/>
            <w:b w:val="false"/>
            <w:i w:val="false"/>
            <w:color w:val="000000"/>
            <w:sz w:val="24"/>
          </w:rPr>
          <w:t>441—78.13</w:t>
        </w:r>
      </w:hyperlink>
      <w:r>
        <w:rPr>
          <w:rFonts w:ascii="Times New Roman" w:hAnsi="Times New Roman"/>
          <w:b w:val="false"/>
          <w:i w:val="false"/>
          <w:color w:val="000000"/>
          <w:sz w:val="24"/>
        </w:rPr>
        <w:t>(249A) must be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No free transportation alternatives available. </w:t>
      </w:r>
      <w:r>
        <w:rPr>
          <w:rFonts w:ascii="Times New Roman" w:hAnsi="Times New Roman"/>
          <w:b w:val="false"/>
          <w:i w:val="false"/>
          <w:color w:val="000000"/>
          <w:sz w:val="24"/>
        </w:rPr>
        <w:t>Member transportation through the nonemergency medical transportation broker is not available to the member when the member is capable of securing the member’s own transportation at no cost to the member (e.g., free-gas voucher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No member transportation alternatives available. </w:t>
      </w:r>
      <w:r>
        <w:rPr>
          <w:rFonts w:ascii="Times New Roman" w:hAnsi="Times New Roman"/>
          <w:b w:val="false"/>
          <w:i w:val="false"/>
          <w:color w:val="000000"/>
          <w:sz w:val="24"/>
        </w:rPr>
        <w:t>Members who have their own transportation available to them are required to use their own vehicle and seek mileage reimbursement. For purposes of determining whether or not the member has the member’s own transportation that is available to the member, the broker shall take into consideration: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Whether the member owns a vehicle;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Whether a member-owned vehicle is in working mechanical order and is licensed;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Whether the member has a valid driver’s license and auto insurance;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Whether the member is unable to drive because of age, physical condition, cognitive impairment, or developmental limitations;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Whether friends or family are available to transport the member to the member’s medical appointment and receive mileage reimbursement.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Limitations on reimbursement for meals. </w:t>
      </w:r>
      <w:r>
        <w:rPr>
          <w:rFonts w:ascii="Times New Roman" w:hAnsi="Times New Roman"/>
          <w:b w:val="false"/>
          <w:i w:val="false"/>
          <w:color w:val="000000"/>
          <w:sz w:val="24"/>
        </w:rPr>
        <w:t>Reimbursement for costs of members’ meals necessary during periods of transportation and medical treatment is limited to situations in which: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transportation being provided spans the entire meal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one-way distance to or from the medical appointment is more than 50 miles;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meal is necessary to satisfy the needs of the member or medically necessary escort;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meal reimbursement is limited to the subsistence allowance amounts applicable to state officers and state employees pursuant to rule </w:t>
      </w:r>
      <w:hyperlink r:id="rId118">
        <w:r>
          <w:rPr>
            <w:rStyle w:val="Hyperlink"/>
            <w:rFonts w:ascii="Times New Roman" w:hAnsi="Times New Roman"/>
            <w:b w:val="false"/>
            <w:i w:val="false"/>
            <w:color w:val="000000"/>
            <w:sz w:val="24"/>
          </w:rPr>
          <w:t>11—41.6</w:t>
        </w:r>
      </w:hyperlink>
      <w:r>
        <w:rPr>
          <w:rFonts w:ascii="Times New Roman" w:hAnsi="Times New Roman"/>
          <w:b w:val="false"/>
          <w:i w:val="false"/>
          <w:color w:val="000000"/>
          <w:sz w:val="24"/>
        </w:rPr>
        <w:t>(8A) and is supported by detailed receipts.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Limitations on reimbursement for lodging expenses. </w:t>
      </w:r>
      <w:r>
        <w:rPr>
          <w:rFonts w:ascii="Times New Roman" w:hAnsi="Times New Roman"/>
          <w:b w:val="false"/>
          <w:i w:val="false"/>
          <w:color w:val="000000"/>
          <w:sz w:val="24"/>
        </w:rPr>
        <w:t>Reimbursement of lodging expenses incurred by members during periods of transportation and medical treatment is limited to reasonable reimbursement for expenses incurred by the member or the medically necessary escort, or both, during a nonemergency trip provided by the broker when the one-way distance to or from the medical appointment is more than 50 miles, supported by detailed receipts, and required for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Closest medical provider. </w:t>
      </w:r>
      <w:r>
        <w:rPr>
          <w:rFonts w:ascii="Times New Roman" w:hAnsi="Times New Roman"/>
          <w:b w:val="false"/>
          <w:i w:val="false"/>
          <w:color w:val="000000"/>
          <w:sz w:val="24"/>
        </w:rPr>
        <w:t xml:space="preserve">Nonemergency medical transportation will only be provided to members to the closest qualified and enrolled Medicaid provider unless: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difference between the closest qualified and enrolled Medicaid provider and the enrolled provider requested by the member is less than 10 miles one way;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additional cost of transportation to the enrolled provider requested by the member is medically justified based 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member’s previous relationship with the requested provider;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member’s prior experience with the requested provider;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requested provider’s special expertise or experience;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referral requiring the member to be seen by the requested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Member scheduling obligations. </w:t>
      </w:r>
      <w:r>
        <w:rPr>
          <w:rFonts w:ascii="Times New Roman" w:hAnsi="Times New Roman"/>
          <w:b w:val="false"/>
          <w:i w:val="false"/>
          <w:color w:val="000000"/>
          <w:sz w:val="24"/>
        </w:rPr>
        <w:t xml:space="preserve">Members who require a ride will need to schedule medical appointments on days the transportation provider sends a shuttle to facilitate the provision of the most economical nonemergency medical transportation available, subject to reasonable medical exceptions.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Abusive behavior. </w:t>
      </w:r>
      <w:r>
        <w:rPr>
          <w:rFonts w:ascii="Times New Roman" w:hAnsi="Times New Roman"/>
          <w:b w:val="false"/>
          <w:i w:val="false"/>
          <w:color w:val="000000"/>
          <w:sz w:val="24"/>
        </w:rPr>
        <w:t>Members who are abusive or inappropriate may be restricted by the department to only receiving mileage reimbursement. Such restricted members will be responsible for finding their own way to their medical appointments.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Member claim submission. </w:t>
      </w:r>
      <w:r>
        <w:rPr>
          <w:rFonts w:ascii="Times New Roman" w:hAnsi="Times New Roman"/>
          <w:b w:val="false"/>
          <w:i w:val="false"/>
          <w:color w:val="000000"/>
          <w:sz w:val="24"/>
        </w:rPr>
        <w:t>Members must submit claims and supporting documentation to the broker within 120 days of the date of service. The broker shall deny member claims submitted more than 120 days from the date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78.13(4)</w:t>
      </w:r>
      <w:r>
        <w:rPr>
          <w:rFonts w:ascii="Times New Roman" w:hAnsi="Times New Roman"/>
          <w:b w:val="false"/>
          <w:i w:val="false"/>
          <w:color w:val="000000"/>
          <w:sz w:val="24"/>
        </w:rPr>
        <w:t> </w:t>
      </w:r>
      <w:r>
        <w:rPr>
          <w:rFonts w:ascii="Times New Roman" w:hAnsi="Times New Roman"/>
          <w:b w:val="false"/>
          <w:i/>
          <w:color w:val="000000"/>
          <w:sz w:val="24"/>
        </w:rPr>
        <w:t xml:space="preserve">Grievance procedure. </w:t>
      </w:r>
      <w:r>
        <w:rPr>
          <w:rFonts w:ascii="Times New Roman" w:hAnsi="Times New Roman"/>
          <w:b w:val="false"/>
          <w:i w:val="false"/>
          <w:color w:val="000000"/>
          <w:sz w:val="24"/>
        </w:rPr>
        <w:t>The broker shall establish an internal grievance procedure for members and transportation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Members may appeal to the department pursuant to </w:t>
      </w:r>
      <w:hyperlink r:id="rId119">
        <w:r>
          <w:rPr>
            <w:rStyle w:val="Hyperlink"/>
            <w:rFonts w:ascii="Times New Roman" w:hAnsi="Times New Roman"/>
            <w:b w:val="false"/>
            <w:i w:val="false"/>
            <w:color w:val="000000"/>
            <w:sz w:val="24"/>
          </w:rPr>
          <w:t>441—Chapter 7</w:t>
        </w:r>
      </w:hyperlink>
      <w:r>
        <w:rPr>
          <w:rFonts w:ascii="Times New Roman" w:hAnsi="Times New Roman"/>
          <w:b w:val="false"/>
          <w:i w:val="false"/>
          <w:color w:val="000000"/>
          <w:sz w:val="24"/>
        </w:rPr>
        <w:t xml:space="preserve"> as an “aggrieved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Transportation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Consent for state fair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Transportation providers that are contracted with the broker and are in good standing with the broker may request a state fair hearing only for disputes regarding payment of claims, specifically, disputes concerning the denial of a claim or reduction in payment, and only when acting on behalf of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transportation provider requesting such a state fair hearing must have the prior, express, signed written consent of the member or the member’s lawfully appointed guardian in order to request such a hearing. Notwithstanding any contrary provision in </w:t>
      </w:r>
      <w:hyperlink r:id="rId120">
        <w:r>
          <w:rPr>
            <w:rStyle w:val="Hyperlink"/>
            <w:rFonts w:ascii="Times New Roman" w:hAnsi="Times New Roman"/>
            <w:b w:val="false"/>
            <w:i w:val="false"/>
            <w:color w:val="000000"/>
            <w:sz w:val="24"/>
          </w:rPr>
          <w:t>441—Chapter 7</w:t>
        </w:r>
      </w:hyperlink>
      <w:r>
        <w:rPr>
          <w:rFonts w:ascii="Times New Roman" w:hAnsi="Times New Roman"/>
          <w:b w:val="false"/>
          <w:i w:val="false"/>
          <w:color w:val="000000"/>
          <w:sz w:val="24"/>
        </w:rPr>
        <w:t>, no state fair hearing will be granted unless the transportation provider submits a document providing such member approval with the request for a state fair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document must specifically inform the member that protected health information (PHI) may be discussed at the hearing and may be made public in the course of the hearing and subsequent administrative and judicial proceedings. The document must contain language that indicates the knowledge of the potential for PHI to become public and that the member knowingly, voluntarily and intelligently consents to the network provider’s bringing the state fair hearing on the member’s behalf.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For all transportation provider grievances not addressed by paragraph </w:t>
      </w:r>
      <w:hyperlink r:id="rId121">
        <w:r>
          <w:rPr>
            <w:rStyle w:val="Hyperlink"/>
            <w:rFonts w:ascii="Times New Roman" w:hAnsi="Times New Roman"/>
            <w:b w:val="false"/>
            <w:i w:val="false"/>
            <w:color w:val="000000"/>
            <w:sz w:val="24"/>
          </w:rPr>
          <w:t>78.13(4)</w:t>
        </w:r>
        <w:r>
          <w:rPr>
            <w:rFonts w:ascii="Times New Roman" w:hAnsi="Times New Roman"/>
            <w:b w:val="false"/>
            <w:i/>
            <w:color w:val="000000"/>
            <w:sz w:val="24"/>
          </w:rPr>
          <w:t>“b,”</w:t>
        </w:r>
      </w:hyperlink>
      <w:r>
        <w:rPr>
          <w:rFonts w:ascii="Times New Roman" w:hAnsi="Times New Roman"/>
          <w:b w:val="false"/>
          <w:i w:val="false"/>
          <w:color w:val="000000"/>
          <w:sz w:val="24"/>
        </w:rPr>
        <w:t xml:space="preserve"> the grievance process shall end with binding arbitration, with a designee of Iowa Medicaid as arbitrator.</w:t>
      </w:r>
    </w:p>
    <w:p>
      <w:pPr>
        <w:spacing w:before="0" w:after="0" w:line="480"/>
        <w:ind w:left="120"/>
        <w:jc w:val="both"/>
      </w:pPr>
      <w:r>
        <w:rPr>
          <w:rFonts w:ascii="Times New Roman" w:hAnsi="Times New Roman"/>
          <w:b/>
          <w:i w:val="false"/>
          <w:color w:val="000000"/>
          <w:sz w:val="24"/>
        </w:rPr>
        <w:t>441—78.14</w:t>
      </w:r>
      <w:r>
        <w:rPr>
          <w:rFonts w:ascii="Times New Roman" w:hAnsi="Times New Roman"/>
          <w:b/>
          <w:i w:val="false"/>
          <w:color w:val="000000"/>
          <w:sz w:val="24"/>
        </w:rPr>
        <w:t xml:space="preserve">(249A) </w:t>
      </w:r>
      <w:r>
        <w:rPr>
          <w:rFonts w:ascii="Times New Roman" w:hAnsi="Times New Roman"/>
          <w:b/>
          <w:i w:val="false"/>
          <w:color w:val="000000"/>
          <w:sz w:val="24"/>
        </w:rPr>
        <w:t xml:space="preserve">Hearing aids. </w:t>
      </w:r>
      <w:r>
        <w:rPr>
          <w:rFonts w:ascii="Times New Roman" w:hAnsi="Times New Roman"/>
          <w:b w:val="false"/>
          <w:i w:val="false"/>
          <w:color w:val="000000"/>
          <w:sz w:val="24"/>
        </w:rPr>
        <w:t>Payment will be approved for a hearing aid and examinations subject to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78.14(1)</w:t>
      </w:r>
      <w:r>
        <w:rPr>
          <w:rFonts w:ascii="Times New Roman" w:hAnsi="Times New Roman"/>
          <w:b w:val="false"/>
          <w:i w:val="false"/>
          <w:color w:val="000000"/>
          <w:sz w:val="24"/>
        </w:rPr>
        <w:t> </w:t>
      </w:r>
      <w:r>
        <w:rPr>
          <w:rFonts w:ascii="Times New Roman" w:hAnsi="Times New Roman"/>
          <w:b w:val="false"/>
          <w:i/>
          <w:color w:val="000000"/>
          <w:sz w:val="24"/>
        </w:rPr>
        <w:t xml:space="preserve">Physician examination. </w:t>
      </w:r>
      <w:r>
        <w:rPr>
          <w:rFonts w:ascii="Times New Roman" w:hAnsi="Times New Roman"/>
          <w:b w:val="false"/>
          <w:i w:val="false"/>
          <w:color w:val="000000"/>
          <w:sz w:val="24"/>
        </w:rPr>
        <w:t>The member shall have an examination by a physician to determine that the member has no condition that would contraindicate the use of a hearing aid. This report shall be documented in the patient record. The requirement for a physician evaluation shall be waived for members 18 years of age or older when the member has signed an informed consent statement acknowledging that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Has been advised that it may be in the member’s best health interest to receive a medical evaluation from a licensed physician before purchase of a hearing 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Does not wish to receive a medical evaluation prior to purchase of a hearing 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78.14(2)</w:t>
      </w:r>
      <w:r>
        <w:rPr>
          <w:rFonts w:ascii="Times New Roman" w:hAnsi="Times New Roman"/>
          <w:b w:val="false"/>
          <w:i w:val="false"/>
          <w:color w:val="000000"/>
          <w:sz w:val="24"/>
        </w:rPr>
        <w:t> </w:t>
      </w:r>
      <w:r>
        <w:rPr>
          <w:rFonts w:ascii="Times New Roman" w:hAnsi="Times New Roman"/>
          <w:b w:val="false"/>
          <w:i/>
          <w:color w:val="000000"/>
          <w:sz w:val="24"/>
        </w:rPr>
        <w:t xml:space="preserve">Audiological testings. </w:t>
      </w:r>
      <w:r>
        <w:rPr>
          <w:rFonts w:ascii="Times New Roman" w:hAnsi="Times New Roman"/>
          <w:b w:val="false"/>
          <w:i w:val="false"/>
          <w:color w:val="000000"/>
          <w:sz w:val="24"/>
        </w:rPr>
        <w:t>A physician or an audiologist shall perform audiological testing as a part of making a determination that a member could benefit from the use of a hearing aid. The department will cover vestibular testing performed by an audiologist only when prescribed by a physician.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78.14(3)</w:t>
      </w:r>
      <w:r>
        <w:rPr>
          <w:rFonts w:ascii="Times New Roman" w:hAnsi="Times New Roman"/>
          <w:b w:val="false"/>
          <w:i w:val="false"/>
          <w:color w:val="000000"/>
          <w:sz w:val="24"/>
        </w:rPr>
        <w:t> </w:t>
      </w:r>
      <w:r>
        <w:rPr>
          <w:rFonts w:ascii="Times New Roman" w:hAnsi="Times New Roman"/>
          <w:b w:val="false"/>
          <w:i/>
          <w:color w:val="000000"/>
          <w:sz w:val="24"/>
        </w:rPr>
        <w:t xml:space="preserve">Hearing aid evaluation. </w:t>
      </w:r>
      <w:r>
        <w:rPr>
          <w:rFonts w:ascii="Times New Roman" w:hAnsi="Times New Roman"/>
          <w:b w:val="false"/>
          <w:i w:val="false"/>
          <w:color w:val="000000"/>
          <w:sz w:val="24"/>
        </w:rPr>
        <w:t>A physician or an audiologist shall perform a hearing aid evaluation to establish if a member could benefit from a hearing aid. When a hearing aid is recommended for a member, the physician or audiologist recommending the hearing aid shall see the member at least one time within 30 days after purchase of the hearing aid to determine that the aid is adequate.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78.14(4)</w:t>
      </w:r>
      <w:r>
        <w:rPr>
          <w:rFonts w:ascii="Times New Roman" w:hAnsi="Times New Roman"/>
          <w:b w:val="false"/>
          <w:i w:val="false"/>
          <w:color w:val="000000"/>
          <w:sz w:val="24"/>
        </w:rPr>
        <w:t> </w:t>
      </w:r>
      <w:r>
        <w:rPr>
          <w:rFonts w:ascii="Times New Roman" w:hAnsi="Times New Roman"/>
          <w:b w:val="false"/>
          <w:i/>
          <w:color w:val="000000"/>
          <w:sz w:val="24"/>
        </w:rPr>
        <w:t xml:space="preserve">Hearing aid selection. </w:t>
      </w:r>
      <w:r>
        <w:rPr>
          <w:rFonts w:ascii="Times New Roman" w:hAnsi="Times New Roman"/>
          <w:b w:val="false"/>
          <w:i w:val="false"/>
          <w:color w:val="000000"/>
          <w:sz w:val="24"/>
        </w:rPr>
        <w:t>A physician or audiologist may recommend a specific brand or model appropriate to the member’s condition. When a physician or an audiologist makes a general hearing aid recommendation, a hearing aid dispenser may perform the tests to determine the specific brand or model appropriate to the member’s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78.14(5)</w:t>
      </w:r>
      <w:r>
        <w:rPr>
          <w:rFonts w:ascii="Times New Roman" w:hAnsi="Times New Roman"/>
          <w:b w:val="false"/>
          <w:i w:val="false"/>
          <w:color w:val="000000"/>
          <w:sz w:val="24"/>
        </w:rPr>
        <w:t> </w:t>
      </w:r>
      <w:r>
        <w:rPr>
          <w:rFonts w:ascii="Times New Roman" w:hAnsi="Times New Roman"/>
          <w:b w:val="false"/>
          <w:i/>
          <w:color w:val="000000"/>
          <w:sz w:val="24"/>
        </w:rPr>
        <w:t xml:space="preserve">Travel. </w:t>
      </w:r>
      <w:r>
        <w:rPr>
          <w:rFonts w:ascii="Times New Roman" w:hAnsi="Times New Roman"/>
          <w:b w:val="false"/>
          <w:i w:val="false"/>
          <w:color w:val="000000"/>
          <w:sz w:val="24"/>
        </w:rPr>
        <w:t xml:space="preserve">When a member is unable to travel to the physician or audiologist because of health reasons, the department will make payment for travel to the member’s place of residence or other suitable location. The department will make payment to physicians as specified in </w:t>
      </w:r>
      <w:hyperlink r:id="rId122">
        <w:r>
          <w:rPr>
            <w:rStyle w:val="Hyperlink"/>
            <w:rFonts w:ascii="Times New Roman" w:hAnsi="Times New Roman"/>
            <w:b w:val="false"/>
            <w:i w:val="false"/>
            <w:color w:val="000000"/>
            <w:sz w:val="24"/>
          </w:rPr>
          <w:t>78.1(8)</w:t>
        </w:r>
      </w:hyperlink>
      <w:r>
        <w:rPr>
          <w:rFonts w:ascii="Times New Roman" w:hAnsi="Times New Roman"/>
          <w:b w:val="false"/>
          <w:i w:val="false"/>
          <w:color w:val="000000"/>
          <w:sz w:val="24"/>
        </w:rPr>
        <w:t xml:space="preserve"> and payment to audiologists at the same rate it reimburses state employees for travel.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78.14(6)</w:t>
      </w:r>
      <w:r>
        <w:rPr>
          <w:rFonts w:ascii="Times New Roman" w:hAnsi="Times New Roman"/>
          <w:b w:val="false"/>
          <w:i w:val="false"/>
          <w:color w:val="000000"/>
          <w:sz w:val="24"/>
        </w:rPr>
        <w:t> </w:t>
      </w:r>
      <w:r>
        <w:rPr>
          <w:rFonts w:ascii="Times New Roman" w:hAnsi="Times New Roman"/>
          <w:b w:val="false"/>
          <w:i/>
          <w:color w:val="000000"/>
          <w:sz w:val="24"/>
        </w:rPr>
        <w:t xml:space="preserve">Purchase of hearing aid. </w:t>
      </w:r>
      <w:r>
        <w:rPr>
          <w:rFonts w:ascii="Times New Roman" w:hAnsi="Times New Roman"/>
          <w:b w:val="false"/>
          <w:i w:val="false"/>
          <w:color w:val="000000"/>
          <w:sz w:val="24"/>
        </w:rPr>
        <w:t xml:space="preserve">The department will pay for the type of hearing aid recommended when purchased from an eligible licensed hearing aid dispenser pursuant to rule </w:t>
      </w:r>
      <w:hyperlink r:id="rId123">
        <w:r>
          <w:rPr>
            <w:rStyle w:val="Hyperlink"/>
            <w:rFonts w:ascii="Times New Roman" w:hAnsi="Times New Roman"/>
            <w:b w:val="false"/>
            <w:i w:val="false"/>
            <w:color w:val="000000"/>
            <w:sz w:val="24"/>
          </w:rPr>
          <w:t>441—77.14</w:t>
        </w:r>
      </w:hyperlink>
      <w:r>
        <w:rPr>
          <w:rFonts w:ascii="Times New Roman" w:hAnsi="Times New Roman"/>
          <w:b w:val="false"/>
          <w:i w:val="false"/>
          <w:color w:val="000000"/>
          <w:sz w:val="24"/>
        </w:rPr>
        <w:t>(249A). The department will pay for binaural amplification when: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child needs the aid for speech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aid is needed for educational or vocational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aid is for a blind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member’s hearing loss has caused marked restriction of daily activities and constriction of interests resulting in seriously impaired ability to relate to other people,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Lack of binaural amplification poses a hazard to a member’s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78.14(7)</w:t>
      </w:r>
      <w:r>
        <w:rPr>
          <w:rFonts w:ascii="Times New Roman" w:hAnsi="Times New Roman"/>
          <w:b w:val="false"/>
          <w:i w:val="false"/>
          <w:color w:val="000000"/>
          <w:sz w:val="24"/>
        </w:rPr>
        <w:t> </w:t>
      </w:r>
      <w:r>
        <w:rPr>
          <w:rFonts w:ascii="Times New Roman" w:hAnsi="Times New Roman"/>
          <w:b w:val="false"/>
          <w:i/>
          <w:color w:val="000000"/>
          <w:sz w:val="24"/>
        </w:rPr>
        <w:t xml:space="preserve">Payment for hearing aids.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Payment for hearing aids will be acquisition cost plus a dispensing fee covering the fitting and service for six months. The department will make payment for routine service after the first six months. Dispensing fees and payment for routine service shall not exceed the fee schedule appropriate to the place of service. Shipping and handling charges are not allowed.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Payment for ear mold and batteries will be at the current audiologist’s fee schedule.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Payment for repairs will be made to the dealer for repairs made by the dealer. Payment for in-house repairs will be made at the current fee schedule. Payment will also be made to the dealer for repairs when the hearing aid is repaired by the manufacturer or manufacturer’s depot. Payment for out-of-house repairs will be at the amount shown on the manufacturer’s invoice. Payment will be allowed for a service or handling charge when it is necessary for repairs to be performed by the manufacturer or manufacturer’s depot and this charge is made to the general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Prior approval. When prior approval is required, an Examiner Report of Need for a Hearing Aid form shall be submitted along with the forms required by </w:t>
      </w:r>
      <w:hyperlink r:id="rId124">
        <w:r>
          <w:rPr>
            <w:rStyle w:val="Hyperlink"/>
            <w:rFonts w:ascii="Times New Roman" w:hAnsi="Times New Roman"/>
            <w:b w:val="false"/>
            <w:i w:val="false"/>
            <w:color w:val="000000"/>
            <w:sz w:val="24"/>
          </w:rPr>
          <w:t>441—paragraph 79.8(1)</w:t>
        </w:r>
        <w:r>
          <w:rPr>
            <w:rFonts w:ascii="Times New Roman" w:hAnsi="Times New Roman"/>
            <w:b w:val="false"/>
            <w:i/>
            <w:color w:val="000000"/>
            <w:sz w:val="24"/>
          </w:rPr>
          <w:t>“a.”</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Payment for the replacement of a hearing aid less than four years old will require prior approval except when the member is under 21 years of age. The department will approve payment when the original hearing aid is lost or broken beyond repair or there is a significant change in the member’s hearing that would require a different hearing 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Payment for a hearing aid costing more than $650 will require prior approval. The department will approve payment for either of the following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Educational purposes when the member is participating in primary or secondary education or in a postsecondary academic program leading to a degree and an in-office comparison of an analog aid and a digital aid matched (+/- 5dB) for gain and output shows a significant improvement in either speech recognition in quiet or speech recognition in noise or an in-office comparison of two aids, one of which is single channel, shows significantly improved audibility.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Vocational purposes when documentation submitted indicates the necessity, such as varying amounts of background noise in the work environment and a need to converse in order to do the job, and an in-office comparison of an analog aid and a digital aid matched (+/- 5dB) for gain and output shows a significant improvement in either speech recognition in quiet or speech recognition in noise or an in-office comparison of two aids, one of which is single channel, shows significantly improved audibility.</w:t>
      </w:r>
    </w:p>
    <w:p>
      <w:pPr>
        <w:spacing w:before="0" w:after="0" w:line="480"/>
        <w:ind w:left="120"/>
        <w:jc w:val="both"/>
      </w:pPr>
      <w:r>
        <w:rPr>
          <w:rFonts w:ascii="Times New Roman" w:hAnsi="Times New Roman"/>
          <w:b/>
          <w:i w:val="false"/>
          <w:color w:val="000000"/>
          <w:sz w:val="24"/>
        </w:rPr>
        <w:t>441—78.15</w:t>
      </w:r>
      <w:r>
        <w:rPr>
          <w:rFonts w:ascii="Times New Roman" w:hAnsi="Times New Roman"/>
          <w:b/>
          <w:i w:val="false"/>
          <w:color w:val="000000"/>
          <w:sz w:val="24"/>
        </w:rPr>
        <w:t xml:space="preserve">(249A) </w:t>
      </w:r>
      <w:r>
        <w:rPr>
          <w:rFonts w:ascii="Times New Roman" w:hAnsi="Times New Roman"/>
          <w:b/>
          <w:i w:val="false"/>
          <w:color w:val="000000"/>
          <w:sz w:val="24"/>
        </w:rPr>
        <w:t xml:space="preserve">Orthopedic shoes. </w:t>
      </w:r>
      <w:r>
        <w:rPr>
          <w:rFonts w:ascii="Times New Roman" w:hAnsi="Times New Roman"/>
          <w:b w:val="false"/>
          <w:i w:val="false"/>
          <w:color w:val="000000"/>
          <w:sz w:val="24"/>
        </w:rPr>
        <w:t>Payment will be approved only for depth or custom-molded orthopedic shoes, inserts, and modifications, subject to the following definitions and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78.15(1)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“Custom-molded shoe” </w:t>
      </w:r>
      <w:r>
        <w:rPr>
          <w:rFonts w:ascii="Times New Roman" w:hAnsi="Times New Roman"/>
          <w:b w:val="false"/>
          <w:i w:val="false"/>
          <w:color w:val="000000"/>
          <w:sz w:val="24"/>
        </w:rPr>
        <w:t>means a shoe that: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Has been constructed over a cast or model of the recipient’s foot;</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Is made of leather or another suitable material of equal quality;</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Has inserts that can be removed, altered, or replaced according to the recipient’s conditions and needs; and</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Has some form of 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“Depth shoe” </w:t>
      </w:r>
      <w:r>
        <w:rPr>
          <w:rFonts w:ascii="Times New Roman" w:hAnsi="Times New Roman"/>
          <w:b w:val="false"/>
          <w:i w:val="false"/>
          <w:color w:val="000000"/>
          <w:sz w:val="24"/>
        </w:rPr>
        <w:t>means a shoe that: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Has a full length, heel-to-toe filler that when removed provides a minimum of 3/16 inch of additional depth used to accommodate custom-molded or customized inserts;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Is made from leather or another suitable material of equal quality;</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Has some form of closure; and</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Is available in full and half sizes with a minimum of three widths, so that the sole is graded to the size and width of the upper portions of the shoe according to the American Standard last sizing schedule as amended to July 1, 2026, or its equivalent.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“Insert” </w:t>
      </w:r>
      <w:r>
        <w:rPr>
          <w:rFonts w:ascii="Times New Roman" w:hAnsi="Times New Roman"/>
          <w:b w:val="false"/>
          <w:i w:val="false"/>
          <w:color w:val="000000"/>
          <w:sz w:val="24"/>
        </w:rPr>
        <w:t>means a foot mold or orthosis constructed of more than one layer of a material that: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Is soft enough and firm enough to take and hold an impression during use, and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Is molded to the recipient’s foot or is made over a model of the foot.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78.15(2)</w:t>
      </w:r>
      <w:r>
        <w:rPr>
          <w:rFonts w:ascii="Times New Roman" w:hAnsi="Times New Roman"/>
          <w:b w:val="false"/>
          <w:i w:val="false"/>
          <w:color w:val="000000"/>
          <w:sz w:val="24"/>
        </w:rPr>
        <w:t> </w:t>
      </w:r>
      <w:r>
        <w:rPr>
          <w:rFonts w:ascii="Times New Roman" w:hAnsi="Times New Roman"/>
          <w:b w:val="false"/>
          <w:i/>
          <w:color w:val="000000"/>
          <w:sz w:val="24"/>
        </w:rPr>
        <w:t xml:space="preserve">Prescription. </w:t>
      </w:r>
      <w:r>
        <w:rPr>
          <w:rFonts w:ascii="Times New Roman" w:hAnsi="Times New Roman"/>
          <w:b w:val="false"/>
          <w:i w:val="false"/>
          <w:color w:val="000000"/>
          <w:sz w:val="24"/>
        </w:rPr>
        <w:t>The recipient shall present to the provider a written prescription by a physician, a podiatrist, a PA, or an ARNP that includes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patient’s diagnosis.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reason orthopedic shoes are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probable duration of need.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specific description of any required modification of the shoes.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78.15(3)</w:t>
      </w:r>
      <w:r>
        <w:rPr>
          <w:rFonts w:ascii="Times New Roman" w:hAnsi="Times New Roman"/>
          <w:b w:val="false"/>
          <w:i w:val="false"/>
          <w:color w:val="000000"/>
          <w:sz w:val="24"/>
        </w:rPr>
        <w:t> </w:t>
      </w:r>
      <w:r>
        <w:rPr>
          <w:rFonts w:ascii="Times New Roman" w:hAnsi="Times New Roman"/>
          <w:b w:val="false"/>
          <w:i/>
          <w:color w:val="000000"/>
          <w:sz w:val="24"/>
        </w:rPr>
        <w:t xml:space="preserve">Diagnosis. </w:t>
      </w:r>
      <w:r>
        <w:rPr>
          <w:rFonts w:ascii="Times New Roman" w:hAnsi="Times New Roman"/>
          <w:b w:val="false"/>
          <w:i w:val="false"/>
          <w:color w:val="000000"/>
          <w:sz w:val="24"/>
        </w:rPr>
        <w:t>The recipient shall have a diagnosis of an orthopedic, neuromuscular, vascular, or insensate foot condition, supported by applicable codes from the International Classification of Diseases (ICD) as amended to July 1, 2026. A diagnosis of flat feet is not covered.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recipient with diabetes must meet the Medicare criteria for therapeutic depth and custom-molded shoes.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Custom-molded shoes are covered only when the recipient has a foot deformity and the provider has documentation of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reasons the recipient cannot be fitted with a depth shoe.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Pain.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Tissue breakdown or a high probability of tissue breakdown.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Any limitation on walking.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78.15(4)</w:t>
      </w:r>
      <w:r>
        <w:rPr>
          <w:rFonts w:ascii="Times New Roman" w:hAnsi="Times New Roman"/>
          <w:b w:val="false"/>
          <w:i w:val="false"/>
          <w:color w:val="000000"/>
          <w:sz w:val="24"/>
        </w:rPr>
        <w:t> </w:t>
      </w:r>
      <w:r>
        <w:rPr>
          <w:rFonts w:ascii="Times New Roman" w:hAnsi="Times New Roman"/>
          <w:b w:val="false"/>
          <w:i/>
          <w:color w:val="000000"/>
          <w:sz w:val="24"/>
        </w:rPr>
        <w:t xml:space="preserve">Frequency. </w:t>
      </w:r>
      <w:r>
        <w:rPr>
          <w:rFonts w:ascii="Times New Roman" w:hAnsi="Times New Roman"/>
          <w:b w:val="false"/>
          <w:i w:val="false"/>
          <w:color w:val="000000"/>
          <w:sz w:val="24"/>
        </w:rPr>
        <w:t xml:space="preserve">Only two pairs of orthopedic shoes are allowed per recipient in a 12-month period unless documentation of change in size or evidence of excessive wear is submitted. </w:t>
      </w:r>
      <w:r>
        <w:rPr>
          <w:rFonts w:ascii="Times New Roman" w:hAnsi="Times New Roman"/>
          <w:b w:val="false"/>
          <w:i w:val="false"/>
          <w:color w:val="000000"/>
          <w:sz w:val="24"/>
        </w:rPr>
        <w:t>EXCEPTION</w:t>
      </w:r>
      <w:r>
        <w:rPr>
          <w:rFonts w:ascii="Times New Roman" w:hAnsi="Times New Roman"/>
          <w:b w:val="false"/>
          <w:i w:val="false"/>
          <w:color w:val="000000"/>
          <w:sz w:val="24"/>
        </w:rPr>
        <w:t>: School-aged children under the age of 21 may obtain athletic shoes in addition to the two pairs of shoes in a 12-month period.</w:t>
      </w:r>
    </w:p>
    <w:p>
      <w:pPr>
        <w:spacing w:before="0" w:after="0" w:line="480"/>
        <w:ind w:left="120"/>
        <w:jc w:val="both"/>
      </w:pPr>
      <w:r>
        <w:rPr>
          <w:rFonts w:ascii="Times New Roman" w:hAnsi="Times New Roman"/>
          <w:b/>
          <w:i w:val="false"/>
          <w:color w:val="000000"/>
          <w:sz w:val="24"/>
        </w:rPr>
        <w:t>441—78.16</w:t>
      </w:r>
      <w:r>
        <w:rPr>
          <w:rFonts w:ascii="Times New Roman" w:hAnsi="Times New Roman"/>
          <w:b/>
          <w:i w:val="false"/>
          <w:color w:val="000000"/>
          <w:sz w:val="24"/>
        </w:rPr>
        <w:t xml:space="preserve">(249A) </w:t>
      </w:r>
      <w:r>
        <w:rPr>
          <w:rFonts w:ascii="Times New Roman" w:hAnsi="Times New Roman"/>
          <w:b/>
          <w:i w:val="false"/>
          <w:color w:val="000000"/>
          <w:sz w:val="24"/>
        </w:rPr>
        <w:t xml:space="preserve">Community mental health centers. </w:t>
      </w:r>
      <w:r>
        <w:rPr>
          <w:rFonts w:ascii="Times New Roman" w:hAnsi="Times New Roman"/>
          <w:b w:val="false"/>
          <w:i w:val="false"/>
          <w:color w:val="000000"/>
          <w:sz w:val="24"/>
        </w:rPr>
        <w:t>Payment will be approved for all reasonable and necessary services provided by a psychiatrist on the staff of a community mental health center. Payment will be approved for services provided by a clinical psychologist, social worker or psychiatric nurse on the staff of the center, subject to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78.16(1)</w:t>
      </w:r>
      <w:r>
        <w:rPr>
          <w:rFonts w:ascii="Times New Roman" w:hAnsi="Times New Roman"/>
          <w:b w:val="false"/>
          <w:i w:val="false"/>
          <w:color w:val="000000"/>
          <w:sz w:val="24"/>
        </w:rPr>
        <w:t> </w:t>
      </w:r>
      <w:r>
        <w:rPr>
          <w:rFonts w:ascii="Times New Roman" w:hAnsi="Times New Roman"/>
          <w:b w:val="false"/>
          <w:i w:val="false"/>
          <w:color w:val="000000"/>
          <w:sz w:val="24"/>
        </w:rPr>
        <w:t>Payment to a community mental health center will be approved for reasonable and necessary services provided to members by a psychiatrist, psychologist, social worker or psychiatric nurse on the staff of the center under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Services must be rendered under the supervision of a board-eligible or board-certified psychiatrist. All services must be performed under the supervision of a board-eligible or board-certified psychiatrist subject to the conditions set forth in </w:t>
      </w:r>
      <w:hyperlink r:id="rId125">
        <w:r>
          <w:rPr>
            <w:rStyle w:val="Hyperlink"/>
            <w:rFonts w:ascii="Times New Roman" w:hAnsi="Times New Roman"/>
            <w:b w:val="false"/>
            <w:i w:val="false"/>
            <w:color w:val="000000"/>
            <w:sz w:val="24"/>
          </w:rPr>
          <w:t>78.16(1)</w:t>
        </w:r>
        <w:r>
          <w:rPr>
            <w:rFonts w:ascii="Times New Roman" w:hAnsi="Times New Roman"/>
            <w:b w:val="false"/>
            <w:i/>
            <w:color w:val="000000"/>
            <w:sz w:val="24"/>
          </w:rPr>
          <w:t>“b”</w:t>
        </w:r>
      </w:hyperlink>
      <w:r>
        <w:rPr>
          <w:rFonts w:ascii="Times New Roman" w:hAnsi="Times New Roman"/>
          <w:b w:val="false"/>
          <w:i w:val="false"/>
          <w:color w:val="000000"/>
          <w:sz w:val="24"/>
        </w:rPr>
        <w:t xml:space="preserve">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Services by staff psychiatrists,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Services rendered by psychologists meeting the requirements of the National Register of Health Service Providers in Psychology as amended to July 1, 2026,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Services provided by a staff member listed in this subrule performing the preliminary diagnostic evaluation of a member for voluntary admission to one of the state mental health institutes.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Supervisory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Each patient shall have an initial evaluation completed that shall include at least one personal evaluation interview with a mental health professional, as defined under Iowa Code section </w:t>
      </w:r>
      <w:hyperlink r:id="rId126">
        <w:r>
          <w:rPr>
            <w:rStyle w:val="Hyperlink"/>
            <w:rFonts w:ascii="Times New Roman" w:hAnsi="Times New Roman"/>
            <w:b w:val="false"/>
            <w:i w:val="false"/>
            <w:color w:val="000000"/>
            <w:sz w:val="24"/>
          </w:rPr>
          <w:t>228.1</w:t>
        </w:r>
      </w:hyperlink>
      <w:r>
        <w:rPr>
          <w:rFonts w:ascii="Times New Roman" w:hAnsi="Times New Roman"/>
          <w:b w:val="false"/>
          <w:i w:val="false"/>
          <w:color w:val="000000"/>
          <w:sz w:val="24"/>
        </w:rPr>
        <w:t>. If the evaluation interview results indicate a need for an interview with a board-eligible or board-certified psychiatrist, then such referral shall be made. This must be accomplished before submission of the first claim for services rendered to that patient.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Ongoing review and assessment of patients’ treatment needs, treatment plans, and the appropriateness of services rendered shall be assured through the peer review process in effect for community mental health centers, as directed by </w:t>
      </w:r>
      <w:r>
        <w:rPr>
          <w:rFonts w:ascii="Times New Roman" w:hAnsi="Times New Roman"/>
          <w:b w:val="false"/>
          <w:i w:val="false"/>
          <w:color w:val="000000"/>
          <w:sz w:val="24"/>
        </w:rPr>
        <w:t>2002 Iowa Acts, chapter 1120, section 13</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78.16(2)</w:t>
      </w:r>
      <w:r>
        <w:rPr>
          <w:rFonts w:ascii="Times New Roman" w:hAnsi="Times New Roman"/>
          <w:b w:val="false"/>
          <w:i w:val="false"/>
          <w:color w:val="000000"/>
          <w:sz w:val="24"/>
        </w:rPr>
        <w:t> </w:t>
      </w:r>
      <w:r>
        <w:rPr>
          <w:rFonts w:ascii="Times New Roman" w:hAnsi="Times New Roman"/>
          <w:b w:val="false"/>
          <w:i w:val="false"/>
          <w:color w:val="000000"/>
          <w:sz w:val="24"/>
        </w:rPr>
        <w:t xml:space="preserve">The treatment plans for and services rendered to patients of the center shall be evaluated and revised as necessary and appropriate, consistent with the standards of the peer review process described in subparagraph </w:t>
      </w:r>
      <w:hyperlink r:id="rId127">
        <w:r>
          <w:rPr>
            <w:rStyle w:val="Hyperlink"/>
            <w:rFonts w:ascii="Times New Roman" w:hAnsi="Times New Roman"/>
            <w:b w:val="false"/>
            <w:i w:val="false"/>
            <w:color w:val="000000"/>
            <w:sz w:val="24"/>
          </w:rPr>
          <w:t>78.16(1)</w:t>
        </w:r>
        <w:r>
          <w:rPr>
            <w:rFonts w:ascii="Times New Roman" w:hAnsi="Times New Roman"/>
            <w:b w:val="false"/>
            <w:i/>
            <w:color w:val="000000"/>
            <w:sz w:val="24"/>
          </w:rPr>
          <w:t>“b”</w:t>
        </w:r>
        <w:r>
          <w:rPr>
            <w:rFonts w:ascii="Times New Roman" w:hAnsi="Times New Roman"/>
            <w:b w:val="false"/>
            <w:i w:val="false"/>
            <w:color w:val="000000"/>
            <w:sz w:val="24"/>
          </w:rPr>
          <w:t>(1)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78.16(3)</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peer review process and related activities, as described under subparagraph </w:t>
      </w:r>
      <w:hyperlink r:id="rId128">
        <w:r>
          <w:rPr>
            <w:rStyle w:val="Hyperlink"/>
            <w:rFonts w:ascii="Times New Roman" w:hAnsi="Times New Roman"/>
            <w:b w:val="false"/>
            <w:i w:val="false"/>
            <w:color w:val="000000"/>
            <w:sz w:val="24"/>
          </w:rPr>
          <w:t>78.16(1)</w:t>
        </w:r>
        <w:r>
          <w:rPr>
            <w:rFonts w:ascii="Times New Roman" w:hAnsi="Times New Roman"/>
            <w:b w:val="false"/>
            <w:i/>
            <w:color w:val="000000"/>
            <w:sz w:val="24"/>
          </w:rPr>
          <w:t>“b”</w:t>
        </w:r>
        <w:r>
          <w:rPr>
            <w:rFonts w:ascii="Times New Roman" w:hAnsi="Times New Roman"/>
            <w:b w:val="false"/>
            <w:i w:val="false"/>
            <w:color w:val="000000"/>
            <w:sz w:val="24"/>
          </w:rPr>
          <w:t>(1)</w:t>
        </w:r>
      </w:hyperlink>
      <w:r>
        <w:rPr>
          <w:rFonts w:ascii="Times New Roman" w:hAnsi="Times New Roman"/>
          <w:b w:val="false"/>
          <w:i w:val="false"/>
          <w:color w:val="000000"/>
          <w:sz w:val="24"/>
        </w:rPr>
        <w:t>, are not payable as separate services under the Medicaid program. The center shall maintain the results of and information related to the peer review process, and these records shall be subject to audit by the department or its designees, as necessary and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78.16(4)</w:t>
      </w:r>
      <w:r>
        <w:rPr>
          <w:rFonts w:ascii="Times New Roman" w:hAnsi="Times New Roman"/>
          <w:b w:val="false"/>
          <w:i w:val="false"/>
          <w:color w:val="000000"/>
          <w:sz w:val="24"/>
        </w:rPr>
        <w:t> </w:t>
      </w:r>
      <w:r>
        <w:rPr>
          <w:rFonts w:ascii="Times New Roman" w:hAnsi="Times New Roman"/>
          <w:b w:val="false"/>
          <w:i w:val="false"/>
          <w:color w:val="000000"/>
          <w:sz w:val="24"/>
        </w:rPr>
        <w:t>Clinical records of medical assistance patients shall be available to the carrier on request. All these records shall be held confidential.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78.16(5)</w:t>
      </w:r>
      <w:r>
        <w:rPr>
          <w:rFonts w:ascii="Times New Roman" w:hAnsi="Times New Roman"/>
          <w:b w:val="false"/>
          <w:i w:val="false"/>
          <w:color w:val="000000"/>
          <w:sz w:val="24"/>
        </w:rPr>
        <w:t> </w:t>
      </w:r>
      <w:r>
        <w:rPr>
          <w:rFonts w:ascii="Times New Roman" w:hAnsi="Times New Roman"/>
          <w:b w:val="false"/>
          <w:i w:val="false"/>
          <w:color w:val="000000"/>
          <w:sz w:val="24"/>
        </w:rPr>
        <w:t>At the time of application for participation in the program the center will be provided with a form on which to list its professional staff. The center shall report acquisitions or losses of professional staff to the carrier within ten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78.16(6)</w:t>
      </w:r>
      <w:r>
        <w:rPr>
          <w:rFonts w:ascii="Times New Roman" w:hAnsi="Times New Roman"/>
          <w:b w:val="false"/>
          <w:i w:val="false"/>
          <w:color w:val="000000"/>
          <w:sz w:val="24"/>
        </w:rPr>
        <w:t> </w:t>
      </w:r>
      <w:r>
        <w:rPr>
          <w:rFonts w:ascii="Times New Roman" w:hAnsi="Times New Roman"/>
          <w:b w:val="false"/>
          <w:i w:val="false"/>
          <w:color w:val="000000"/>
          <w:sz w:val="24"/>
        </w:rPr>
        <w:t>Payment to a community mental health center will be approved for day treatment services for persons aged 21 or over if the center is certified by the department for day treatment services, the services are provided on the premises of the community mental health center or satellite office of the community mental health center, and the services meet the standards outlined herein.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Community mental health centers providing day treatment services for persons aged 21 or over shall have available a written narrative providing the following day treatment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Documented need for day treatment services for persons aged 21 and over in the area served by the program, including studies, needs assessments, and consultations with other health care professionals.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Goals and objectives of the day treatment program for persons aged 21 and over that meet the day treatment program guidelines noted in </w:t>
      </w:r>
      <w:hyperlink r:id="rId129">
        <w:r>
          <w:rPr>
            <w:rStyle w:val="Hyperlink"/>
            <w:rFonts w:ascii="Times New Roman" w:hAnsi="Times New Roman"/>
            <w:b w:val="false"/>
            <w:i w:val="false"/>
            <w:color w:val="000000"/>
            <w:sz w:val="24"/>
          </w:rPr>
          <w:t>78.16(6)</w:t>
        </w:r>
        <w:r>
          <w:rPr>
            <w:rFonts w:ascii="Times New Roman" w:hAnsi="Times New Roman"/>
            <w:b w:val="false"/>
            <w:i/>
            <w:color w:val="000000"/>
            <w:sz w:val="24"/>
          </w:rPr>
          <w:t>“b.”</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Organization and staffing including how the day treatment program for persons aged 21 and over fits with the rest of the community mental health center, the number of staff, staff credentials, and the staff’s relationship to the program, e.g., employee, contractual, or consultant.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Policies and procedures for the program including admission criteria, patient assessment, treatment plan, discharge plan, postdischarge services, and the scope of services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Any accreditations or other types of approvals from national or state organizations.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physical facility and any equipment to be utilized.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Day treatment services for persons aged 21 and over shall be structured, long-term services designed to assist in restoring, maintaining or increasing levels of functioning, minimizing regression, and preventing hospitalization.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 components include training in independent functioning skills necessary for self-care, emotional stability and psychosocial interactions and training in medication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Services are structured with an emphasis on program variation according to individual need.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Services are provided for a period of three to five hours per day, three or four times per 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Payment will be approved for day treatment services provided by or under the general supervision of a mental health professional. When services are provided by an employee or consultant of the community mental health center who is not a mental health professional, the employee or consultant shall be supervised by a mental health professional who gives professional direction and active guidance to the employee or consultant and who retains responsibility for member care. The supervision shall be timely, regular, and documented. The employee or consultant shall meet the following minimum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Have a bachelor’s degree in a human services related field from an accredited college or university;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Have an Iowa license to practice as a registered nurse with two years of experience in the delivery of nursing or human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Persons aged 18 through 20 with chronic mental illness as defined by rule </w:t>
      </w:r>
      <w:hyperlink r:id="rId130">
        <w:r>
          <w:rPr>
            <w:rStyle w:val="Hyperlink"/>
            <w:rFonts w:ascii="Times New Roman" w:hAnsi="Times New Roman"/>
            <w:b w:val="false"/>
            <w:i w:val="false"/>
            <w:color w:val="000000"/>
            <w:sz w:val="24"/>
          </w:rPr>
          <w:t>441—24.1</w:t>
        </w:r>
      </w:hyperlink>
      <w:r>
        <w:rPr>
          <w:rFonts w:ascii="Times New Roman" w:hAnsi="Times New Roman"/>
          <w:b w:val="false"/>
          <w:i w:val="false"/>
          <w:color w:val="000000"/>
          <w:sz w:val="24"/>
        </w:rPr>
        <w:t xml:space="preserve">(225A) can receive day treatment services under this subrule or subrule </w:t>
      </w:r>
      <w:hyperlink r:id="rId131">
        <w:r>
          <w:rPr>
            <w:rStyle w:val="Hyperlink"/>
            <w:rFonts w:ascii="Times New Roman" w:hAnsi="Times New Roman"/>
            <w:b w:val="false"/>
            <w:i w:val="false"/>
            <w:color w:val="000000"/>
            <w:sz w:val="24"/>
          </w:rPr>
          <w:t>78.16(7)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78.16(7)</w:t>
      </w:r>
      <w:r>
        <w:rPr>
          <w:rFonts w:ascii="Times New Roman" w:hAnsi="Times New Roman"/>
          <w:b w:val="false"/>
          <w:i w:val="false"/>
          <w:color w:val="000000"/>
          <w:sz w:val="24"/>
        </w:rPr>
        <w:t> </w:t>
      </w:r>
      <w:r>
        <w:rPr>
          <w:rFonts w:ascii="Times New Roman" w:hAnsi="Times New Roman"/>
          <w:b w:val="false"/>
          <w:i w:val="false"/>
          <w:color w:val="000000"/>
          <w:sz w:val="24"/>
        </w:rPr>
        <w:t>Payment to a community mental health center will be approved for day treatment services for persons aged 20 or under if the center is certified by the department for day treatment services and the services are provided on the premises of the community mental health center or satellite office of the community mental health center. Exception: Field trips away from the premises are a covered service when the trip is therapeutic and integrated into the day treatment program’s description and milieu plan.</w:t>
      </w:r>
    </w:p>
    <w:p>
      <w:pPr>
        <w:spacing w:before="0" w:after="0" w:line="480"/>
        <w:ind w:left="120"/>
        <w:jc w:val="both"/>
      </w:pPr>
      <w:r>
        <w:rPr>
          <w:rFonts w:ascii="Times New Roman" w:hAnsi="Times New Roman"/>
          <w:b w:val="false"/>
          <w:i w:val="false"/>
          <w:color w:val="000000"/>
          <w:sz w:val="24"/>
        </w:rPr>
        <w:t xml:space="preserve">Day treatment coverage will be limited to a maximum of 15 hours per week. Day treatment services for persons aged 20 or under shall be outpatient services provided to persons who are not inpatients in a medical institution or residents of a group care facility licensed under </w:t>
      </w:r>
      <w:hyperlink r:id="rId132">
        <w:r>
          <w:rPr>
            <w:rStyle w:val="Hyperlink"/>
            <w:rFonts w:ascii="Times New Roman" w:hAnsi="Times New Roman"/>
            <w:b w:val="false"/>
            <w:i w:val="false"/>
            <w:color w:val="000000"/>
            <w:sz w:val="24"/>
          </w:rPr>
          <w:t>441—Chapter 114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Program documentation. </w:t>
      </w:r>
      <w:r>
        <w:rPr>
          <w:rFonts w:ascii="Times New Roman" w:hAnsi="Times New Roman"/>
          <w:b w:val="false"/>
          <w:i w:val="false"/>
          <w:color w:val="000000"/>
          <w:sz w:val="24"/>
        </w:rPr>
        <w:t>Community mental health centers providing day treatment services for persons aged 20 or under shall have available a written narrative that provides the following day treatment program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Documented need for day treatment services for persons aged 20 or under in the area served by the program, including studies, needs assessments, and consultations with other health care professionals.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Goals and objectives of the day treatment program for persons aged 20 or under that meet the guidelines noted in paragraphs </w:t>
      </w:r>
      <w:r>
        <w:rPr>
          <w:rFonts w:ascii="Times New Roman" w:hAnsi="Times New Roman"/>
          <w:b w:val="false"/>
          <w:i/>
          <w:color w:val="000000"/>
          <w:sz w:val="24"/>
        </w:rPr>
        <w:t>“c”</w:t>
      </w:r>
      <w:r>
        <w:rPr>
          <w:rFonts w:ascii="Times New Roman" w:hAnsi="Times New Roman"/>
          <w:b w:val="false"/>
          <w:i w:val="false"/>
          <w:color w:val="000000"/>
          <w:sz w:val="24"/>
        </w:rPr>
        <w:t xml:space="preserve"> through </w:t>
      </w:r>
      <w:r>
        <w:rPr>
          <w:rFonts w:ascii="Times New Roman" w:hAnsi="Times New Roman"/>
          <w:b w:val="false"/>
          <w:i/>
          <w:color w:val="000000"/>
          <w:sz w:val="24"/>
        </w:rPr>
        <w:t>“h”</w:t>
      </w:r>
      <w:r>
        <w:rPr>
          <w:rFonts w:ascii="Times New Roman" w:hAnsi="Times New Roman"/>
          <w:b w:val="false"/>
          <w:i w:val="false"/>
          <w:color w:val="000000"/>
          <w:sz w:val="24"/>
        </w:rPr>
        <w:t xml:space="preserve">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Organization and staffing including how the day treatment program for persons aged 20 or under fits with the rest of the community mental health center, the number of staff, staff credentials, and the staff’s relationship to the program, e.g., employee, contractual, or consultant.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Policies and procedures for the program including admission criteria, patient assessment, treatment plan, discharge plan, postdischarge services, and the scope of services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Any accreditations or other types of approvals from national or state organizations.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physical facility and any equipment to be utilized.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Program standards. </w:t>
      </w:r>
      <w:r>
        <w:rPr>
          <w:rFonts w:ascii="Times New Roman" w:hAnsi="Times New Roman"/>
          <w:b w:val="false"/>
          <w:i w:val="false"/>
          <w:color w:val="000000"/>
          <w:sz w:val="24"/>
        </w:rPr>
        <w:t>Medicaid day treatment program services for persons aged 20 and under shall meet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Staffing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Be sufficient to deliver program services and provide stable, consistent, and cohesive milieu with a staff-to-patient ratio of no less than one staff for each eight participants. Clinical, professional, and paraprofessional staff may be counted in determining the staff-to-patient ratio. Professional or clinical staff are those staff who are either mental health professionals as defined in rule </w:t>
      </w:r>
      <w:hyperlink r:id="rId133">
        <w:r>
          <w:rPr>
            <w:rStyle w:val="Hyperlink"/>
            <w:rFonts w:ascii="Times New Roman" w:hAnsi="Times New Roman"/>
            <w:b w:val="false"/>
            <w:i w:val="false"/>
            <w:color w:val="000000"/>
            <w:sz w:val="24"/>
          </w:rPr>
          <w:t>441—24.1</w:t>
        </w:r>
      </w:hyperlink>
      <w:r>
        <w:rPr>
          <w:rFonts w:ascii="Times New Roman" w:hAnsi="Times New Roman"/>
          <w:b w:val="false"/>
          <w:i w:val="false"/>
          <w:color w:val="000000"/>
          <w:sz w:val="24"/>
        </w:rPr>
        <w:t>(225A) or persons employed for the purpose of providing offered services under the supervision of a mental health professional. All other staff (administrative, adjunctive, support, nonclinical, clerical, and consulting staff or professional clinical staff) when engaged in administrative or clerical activities shall not be counted in determining the staff-to-patient ratio or in defining program staffing patterns. Educational staff may be counted in the staff-to-patient ratio.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Reflect how program continuity will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Reflect an interdisciplinary team of professionals and paraprofessionals.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Include a designated director who is a mental health professional as defined in rule </w:t>
      </w:r>
      <w:hyperlink r:id="rId134">
        <w:r>
          <w:rPr>
            <w:rStyle w:val="Hyperlink"/>
            <w:rFonts w:ascii="Times New Roman" w:hAnsi="Times New Roman"/>
            <w:b w:val="false"/>
            <w:i w:val="false"/>
            <w:color w:val="000000"/>
            <w:sz w:val="24"/>
          </w:rPr>
          <w:t>441—24.1</w:t>
        </w:r>
      </w:hyperlink>
      <w:r>
        <w:rPr>
          <w:rFonts w:ascii="Times New Roman" w:hAnsi="Times New Roman"/>
          <w:b w:val="false"/>
          <w:i w:val="false"/>
          <w:color w:val="000000"/>
          <w:sz w:val="24"/>
        </w:rPr>
        <w:t>(225A). The director shall be responsible for direct supervision of the individual treatment plans for participants and the ongoing assessment of program effectiveness.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Be provided by or under the general supervision of a mental health professional. When services are provided by an employee or consultant of the community mental health center who is not a mental health professional, the employee or consultant shall be supervised by a mental health professional who gives direct professional direction and active guidance to the employee or consultant and who retains responsibility for member care. The supervision shall be timely, regular and documented. The employee or consultant shall have a bachelor’s degree in a human services related field from an accredited college or university or have an Iowa license to practice as a registered nurse with two years of experience in the delivery of nursing or human services. Exception: Other certified or licensed staff, such as certified addiction counselors or certified occupational and recreational therapy assistants, are eligible to provide direct services under the general supervision of a mental health professional, but they shall not be included in the staff-to-patient ratio.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There shall be written policies and procedures addressing the following: admission criteria; patient assessment; patient evaluation; treatment plan; discharge plan; community linkage with other psychiatric, mental health, and human service providers; a process to review the quality of care being provided with a quarterly review of the effectiveness of the clinical program; postdischarge services; and the scope of services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program shall have hours of operation available for a minimum of three consecutive hours per day, three days or evenings per 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length of stay in a day treatment program for persons aged 20 or under shall not exceed 180 treatment days per episode of care, unless the rationale for a longer stay is documented in the patient’s case record and treatment plan every 30 calendar days after the first 180 treatment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Programming shall meet the individual needs of the patient. A description of services provided for patients shall be documented along with a schedule of when service activities are available including the days and hours of program availability.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There shall be a written plan for accessing emergency services 24 hours a day, seven days a 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program shall maintain a community liaison with other psychiatric, mental health, and human service providers. Formal relationships shall exist with hospitals providing inpatient programs to facilitate referral, communication, and discharge planning. Relationships shall also exist with appropriate school districts and educational cooperatives. Relationships with other entities such as physicians, hospitals, private practitioners, halfway houses, the department, juvenile justice system, community support groups, and child advocacy groups are encouraged. The provider’s program description will describe how community links will be established and maintained.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Psychotherapeutic treatment services and psychosocial rehabilitation services shall be available. A description of the services shall accompany the application for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The program shall maintain a distinct clinical record for each patient admitted. Documentation, at a minimum, shall include: the specific services rendered, the date and actual time services were rendered, who rendered the services, the setting in which the services were rendered, the amount of time it took to deliver the services, the relationship of the services to the treatment regimen described in the plan of care, and updates describing the patient’s progress.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Program services. </w:t>
      </w:r>
      <w:r>
        <w:rPr>
          <w:rFonts w:ascii="Times New Roman" w:hAnsi="Times New Roman"/>
          <w:b w:val="false"/>
          <w:i w:val="false"/>
          <w:color w:val="000000"/>
          <w:sz w:val="24"/>
        </w:rPr>
        <w:t>Day treatment services for persons aged 20 or under shall be a time-limited, goal-oriented active treatment program that offers therapeutically intensive, coordinated, structured clinical services within a stable therapeutic milieu. Time-limited means that the patient is not expected to need services indefinitely or lifelong, and that the primary goal of the program is to improve the behavioral functioning or emotional adjustment of the patient in order that the service is no longer necessary. Day treatment services shall be provided within the least restrictive therapeutically appropriate context and shall be community-based and family focused. The overall expected outcome is clinically adaptive behavior on the part of the patient and the family.</w:t>
      </w:r>
    </w:p>
    <w:p>
      <w:pPr>
        <w:spacing w:before="0" w:after="0" w:line="480"/>
        <w:ind w:left="120"/>
        <w:jc w:val="both"/>
      </w:pPr>
      <w:r>
        <w:rPr>
          <w:rFonts w:ascii="Times New Roman" w:hAnsi="Times New Roman"/>
          <w:b w:val="false"/>
          <w:i w:val="false"/>
          <w:color w:val="000000"/>
          <w:sz w:val="24"/>
        </w:rPr>
        <w:t>At a minimum, day treatment services will be expected to improve the patient’s condition, restore the condition to the level of functioning prior to onset of illness, control symptoms, or establish and maintain a functional level to avoid further deterioration or hospitalization. Services are expected to be age-appropriate forms of psychosocial rehabilitation activities, psychotherapeutic services, social skills training, or training in basic care activities to establish, retain or encourage age-appropriate or developmentally appropriate psychosocial, educational, and emotional adjustment.</w:t>
      </w:r>
    </w:p>
    <w:p>
      <w:pPr>
        <w:spacing w:before="0" w:after="0" w:line="480"/>
        <w:ind w:left="120"/>
        <w:jc w:val="both"/>
      </w:pPr>
      <w:r>
        <w:rPr>
          <w:rFonts w:ascii="Times New Roman" w:hAnsi="Times New Roman"/>
          <w:b w:val="false"/>
          <w:i w:val="false"/>
          <w:color w:val="000000"/>
          <w:sz w:val="24"/>
        </w:rPr>
        <w:t>Day treatment programs shall use an integrated, comprehensive and complementary schedule of therapeutic activities and shall have the capacity to treat a wide array of clinical conditions.</w:t>
      </w:r>
    </w:p>
    <w:p>
      <w:pPr>
        <w:spacing w:before="0" w:after="0" w:line="480"/>
        <w:ind w:left="120"/>
        <w:jc w:val="both"/>
      </w:pPr>
      <w:r>
        <w:rPr>
          <w:rFonts w:ascii="Times New Roman" w:hAnsi="Times New Roman"/>
          <w:b w:val="false"/>
          <w:i w:val="false"/>
          <w:color w:val="000000"/>
          <w:sz w:val="24"/>
        </w:rPr>
        <w:t>The following services shall be available as components of the day treatment program. These services are not separately billable to Medicaid, as day treatment reimbursement includes reimbursement for all day treatment components.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Psychotherapeutic treatment services, including individual, group, and family 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Psychosocial rehabilitation services. Active treatment examples include but are not limited to individual and group therapy, medication evaluation and management, expressive therapies, and theme groups such as communication skills, assertiveness training, other forms of community skills training, stress management, chemical dependency counseling, education, and prevention, symptom recognition and reduction, problem solving, relaxation techniques, and victimization (sexual, emotional, or physical abuse issues).</w:t>
      </w:r>
    </w:p>
    <w:p>
      <w:pPr>
        <w:spacing w:before="0" w:after="0" w:line="480"/>
        <w:ind w:left="120"/>
        <w:jc w:val="both"/>
      </w:pPr>
      <w:r>
        <w:rPr>
          <w:rFonts w:ascii="Times New Roman" w:hAnsi="Times New Roman"/>
          <w:b w:val="false"/>
          <w:i w:val="false"/>
          <w:color w:val="000000"/>
          <w:sz w:val="24"/>
        </w:rPr>
        <w:t>Other program components may be provided, such as personal hygiene, recreation, community awareness, arts and crafts, and social activities designed to improve interpersonal skills and family mental health. Although these other services may be provided, they are not the primary focus of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Evaluation services to determine need for day treatment prior to program admission. For persons for whom clarification is needed to determine whether day treatment is an appropriate therapy approach, or for persons who do not clearly meet admission criteria, an evaluation service may be performed. Evaluation services shall be individual and family evaluation activities made available to courts, schools, other agencies, and individuals upon request, who assess, plan, and link individuals with appropriate services. This service must be completed by a mental health professional. An evaluation from another source performed within the previous 12 months or sooner if there has not been a change may be substituted. Medicaid will not make separate payment for these services under the day treatment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Assessment services. All day treatment patients will receive a formal, comprehensive biopsychosocial assessment of day treatment needs including, if applicable, a diagnostic impression based on the Diagnostic and Statistical Manual of Mental Disorders as amended to July 1, 2026. An assessment from another source performed within the previous 12 months may be used if the symptomatology is the same as 12 months ago. If not, parts of the assessment that reflect current functioning may be used as an update. Using the assessment, a comprehensive summation will be produced, including the findings of all assessments performed. The summary will be used in forming a treatment plan including treatment goals. Indicators for discharge planning, including recommended follow-up goals and provision for future services, should also be considered, and consistently monitored.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day treatment program may include an educational component as an additional service. The patient’s educational needs shall be served without conflict from the day treatment program. Hours in which the patient is involved in the educational component of the day treatment program are not included in the day treatment hours billable to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Admission criteria. </w:t>
      </w:r>
      <w:r>
        <w:rPr>
          <w:rFonts w:ascii="Times New Roman" w:hAnsi="Times New Roman"/>
          <w:b w:val="false"/>
          <w:i w:val="false"/>
          <w:color w:val="000000"/>
          <w:sz w:val="24"/>
        </w:rPr>
        <w:t>Admission criteria for day treatment services for persons aged 20 or under shall reflect the following clinical indicators: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patient is at risk for exclusion from normative community activities or residence.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patient exhibits psychiatric symptoms, disturbances of conduct, decompensating conditions affecting mental health, severe developmental delays, psychological symptoms, or chemical dependency issues sufficiently severe to bring about significant or profound impairment in day-to-day educational, social, vocational, or interpersonal functioning.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Documentation is provided that the traditional outpatient setting has been considered and has been determined not to be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patient’s principal caretaker (family, guardian, foster family or custodian) must be able and willing to provide the support and monitoring of the patient, to enable adequate control of the patient’s behavior, and must be involved in the patient’s treatment. Persons aged 20 or under who have reached the age of majority, either by age or emancipation, are exempt from family therapy involvement.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patient has the capacity to benefit from the interventions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Individual treatment plan. </w:t>
      </w:r>
      <w:r>
        <w:rPr>
          <w:rFonts w:ascii="Times New Roman" w:hAnsi="Times New Roman"/>
          <w:b w:val="false"/>
          <w:i w:val="false"/>
          <w:color w:val="000000"/>
          <w:sz w:val="24"/>
        </w:rPr>
        <w:t>Each patient receiving day treatment services shall have a treatment plan prepared. A preliminary treatment plan should be formulated within 3 days of participation after admission, and replaced within 30 calendar days by a comprehensive, formalized plan utilizing the comprehensive assessment. This individual treatment plan should reflect the patient’s strengths and weaknesses and identify areas of therapeutic focus. The treatment goals that are general statements of member outcomes shall be related to identified strengths, weaknesses, and clinical needs with time-limited, measurable objectives. Objectives shall be related to the goal and have specific anticipated outcomes. Methods that will be used to pursue the objectives shall be stated. The plan should be reviewed and revised as needed, but shall be reviewed at least every 30 calendar days. The treatment plan shall be developed or approved by a board-eligible or board-certified psychiatrist, a staff psychiatrist, physician, or a psychologist registered on the “National Register of Health Service Providers in Psychology” as amended to July 1, 2026. Approval will be evidenced by a signature of the physician or health service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Discharge criteria. </w:t>
      </w:r>
      <w:r>
        <w:rPr>
          <w:rFonts w:ascii="Times New Roman" w:hAnsi="Times New Roman"/>
          <w:b w:val="false"/>
          <w:i w:val="false"/>
          <w:color w:val="000000"/>
          <w:sz w:val="24"/>
        </w:rPr>
        <w:t>Discharge criteria for the day treatment program for persons aged 20 or under shall incorporate at least the following indicators: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 the case of patient improvement: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patient’s clinical condition has improved as shown by symptom relief, behavioral control, or indication of mastery of skills at the patient’s developmental level. Reduced interference with and increased responsibility with social, vocational, interpersonal, or educational goals occurs sufficient to warrant a treatment program of less supervision, support, and therapeutic intervention.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Treatment goals in the individualized treatment plan have been achieved.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aftercare plan has been developed that is appropriate to the patient’s needs and agreed to by the patient and family, custodian, or guardian.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patient does not improve: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patient’s clinical condition has deteriorated to the extent that the safety and security of inpatient or residential care is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Patient, family, or custodian noncompliance with treatment or with program rules exists.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Coordination of services. </w:t>
      </w:r>
      <w:r>
        <w:rPr>
          <w:rFonts w:ascii="Times New Roman" w:hAnsi="Times New Roman"/>
          <w:b w:val="false"/>
          <w:i w:val="false"/>
          <w:color w:val="000000"/>
          <w:sz w:val="24"/>
        </w:rPr>
        <w:t>Programming services shall be provided in accordance with the individual treatment plan developed by appropriate day treatment staff, in collaboration with the patient and appropriate caretaker figure (parent, guardian, or principal caretaker), and under the supervision of the program director, coordinator, or supervisor.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program for each patient will be coordinated by primary care staff of the community mental health center. A coordinated, consistent array of scheduled therapeutic services and activities shall comprise the day treatment program. These may include counseling or psychotherapy, theme groups, social skills development, behavior management, and other adjunctive therapies. At least 50 percent of scheduled therapeutic program hours exclusive of educational hours for each patient shall consist of active treatment that specifically addresses the targeted problems of the population served. Active treatment shall be defined as treatment in which the program staff assume significant responsibility and often intervene.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Family, guardian, or principal caretaker shall be involved with the program through family therapy sessions or scheduled family components of the program. They will be encouraged to adopt an active role in treatment. Medicaid will not make separate payment for family therapy services. Persons aged 20 or under who have reached the age of majority, either by age or emancipation, are exempt from family therapy involvement.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Therapeutic activities will be scheduled according to the needs of the patients, both individually and as a group.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Scheduled therapeutic activities, which may include other program components as described above, shall be provided at least 3 hours per week up to a maximum of 15 hours per 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Stable milieu. </w:t>
      </w:r>
      <w:r>
        <w:rPr>
          <w:rFonts w:ascii="Times New Roman" w:hAnsi="Times New Roman"/>
          <w:b w:val="false"/>
          <w:i w:val="false"/>
          <w:color w:val="000000"/>
          <w:sz w:val="24"/>
        </w:rPr>
        <w:t>The program shall formally seek to provide a stable, consistent, and cohesive therapeutic milieu. In part this will be encouraged by scheduling attendance such that a stable core of patients exists as much as possible. The milieu will consider the developmental and social stage of the participants such that no patient will be significantly involved with other patients who are likely to contribute to retardation or deterioration of the patient’s social and emotional functioning. To help establish a sense of program identity, the array of therapeutic interventions shall be specifically identified as the day treatment program. Program planning meetings shall be held at least quarterly to evaluate the effectiveness of the clinical program. In the program description, the provider shall state how milieu stability will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Chronic mental illness. </w:t>
      </w:r>
      <w:r>
        <w:rPr>
          <w:rFonts w:ascii="Times New Roman" w:hAnsi="Times New Roman"/>
          <w:b w:val="false"/>
          <w:i w:val="false"/>
          <w:color w:val="000000"/>
          <w:sz w:val="24"/>
        </w:rPr>
        <w:t xml:space="preserve">Persons aged 18 through 20 with chronic mental illness as defined by rule </w:t>
      </w:r>
      <w:hyperlink r:id="rId135">
        <w:r>
          <w:rPr>
            <w:rStyle w:val="Hyperlink"/>
            <w:rFonts w:ascii="Times New Roman" w:hAnsi="Times New Roman"/>
            <w:b w:val="false"/>
            <w:i w:val="false"/>
            <w:color w:val="000000"/>
            <w:sz w:val="24"/>
          </w:rPr>
          <w:t>441—24.1</w:t>
        </w:r>
      </w:hyperlink>
      <w:r>
        <w:rPr>
          <w:rFonts w:ascii="Times New Roman" w:hAnsi="Times New Roman"/>
          <w:b w:val="false"/>
          <w:i w:val="false"/>
          <w:color w:val="000000"/>
          <w:sz w:val="24"/>
        </w:rPr>
        <w:t xml:space="preserve">(225A) can receive day treatment services under this subrule or subrule </w:t>
      </w:r>
      <w:hyperlink r:id="rId136">
        <w:r>
          <w:rPr>
            <w:rStyle w:val="Hyperlink"/>
            <w:rFonts w:ascii="Times New Roman" w:hAnsi="Times New Roman"/>
            <w:b w:val="false"/>
            <w:i w:val="false"/>
            <w:color w:val="000000"/>
            <w:sz w:val="24"/>
          </w:rPr>
          <w:t>78.16(6)</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441—78.17</w:t>
      </w:r>
      <w:r>
        <w:rPr>
          <w:rFonts w:ascii="Times New Roman" w:hAnsi="Times New Roman"/>
          <w:b/>
          <w:i w:val="false"/>
          <w:color w:val="000000"/>
          <w:sz w:val="24"/>
        </w:rPr>
        <w:t xml:space="preserve">(249A) </w:t>
      </w:r>
      <w:r>
        <w:rPr>
          <w:rFonts w:ascii="Times New Roman" w:hAnsi="Times New Roman"/>
          <w:b/>
          <w:i w:val="false"/>
          <w:color w:val="000000"/>
          <w:sz w:val="24"/>
        </w:rPr>
        <w:t xml:space="preserve">Physical therapists. </w:t>
      </w:r>
      <w:r>
        <w:rPr>
          <w:rFonts w:ascii="Times New Roman" w:hAnsi="Times New Roman"/>
          <w:b w:val="false"/>
          <w:i w:val="false"/>
          <w:color w:val="000000"/>
          <w:sz w:val="24"/>
        </w:rPr>
        <w:t xml:space="preserve">Payment will be approved when the services provided relate directly to an active written treatment plan; follow a treatment plan established by the physician, nurse practitioner, clinical nurse specialist, or PA after any needed consultation with the qualified physical therapist; are reasonable and necessary to the treatment of the patient’s illness or injury; and meet the guidelines defined for restorative, maintenance, or trial therapy as set forth in paragraphs </w:t>
      </w:r>
      <w:hyperlink r:id="rId137">
        <w:r>
          <w:rPr>
            <w:rStyle w:val="Hyperlink"/>
            <w:rFonts w:ascii="Times New Roman" w:hAnsi="Times New Roman"/>
            <w:b w:val="false"/>
            <w:i w:val="false"/>
            <w:color w:val="000000"/>
            <w:sz w:val="24"/>
          </w:rPr>
          <w:t>78.19(1)</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“b.”</w:t>
      </w:r>
    </w:p>
    <w:p>
      <w:pPr>
        <w:spacing w:before="0" w:after="0" w:line="480"/>
        <w:ind w:left="120"/>
        <w:jc w:val="both"/>
      </w:pPr>
      <w:r>
        <w:rPr>
          <w:rFonts w:ascii="Times New Roman" w:hAnsi="Times New Roman"/>
          <w:b/>
          <w:i w:val="false"/>
          <w:color w:val="000000"/>
          <w:sz w:val="24"/>
        </w:rPr>
        <w:t>441—78.18</w:t>
      </w:r>
      <w:r>
        <w:rPr>
          <w:rFonts w:ascii="Times New Roman" w:hAnsi="Times New Roman"/>
          <w:b/>
          <w:i w:val="false"/>
          <w:color w:val="000000"/>
          <w:sz w:val="24"/>
        </w:rPr>
        <w:t xml:space="preserve">(249A) </w:t>
      </w:r>
      <w:r>
        <w:rPr>
          <w:rFonts w:ascii="Times New Roman" w:hAnsi="Times New Roman"/>
          <w:b/>
          <w:i w:val="false"/>
          <w:color w:val="000000"/>
          <w:sz w:val="24"/>
        </w:rPr>
        <w:t xml:space="preserve">Screening centers. </w:t>
      </w:r>
      <w:r>
        <w:rPr>
          <w:rFonts w:ascii="Times New Roman" w:hAnsi="Times New Roman"/>
          <w:b w:val="false"/>
          <w:i w:val="false"/>
          <w:color w:val="000000"/>
          <w:sz w:val="24"/>
        </w:rPr>
        <w:t xml:space="preserve">Payment will be approved for health screening as defined in rule </w:t>
      </w:r>
      <w:hyperlink r:id="rId138">
        <w:r>
          <w:rPr>
            <w:rStyle w:val="Hyperlink"/>
            <w:rFonts w:ascii="Times New Roman" w:hAnsi="Times New Roman"/>
            <w:b w:val="false"/>
            <w:i w:val="false"/>
            <w:color w:val="000000"/>
            <w:sz w:val="24"/>
          </w:rPr>
          <w:t>441—84.1(249A)</w:t>
        </w:r>
      </w:hyperlink>
      <w:r>
        <w:rPr>
          <w:rFonts w:ascii="Times New Roman" w:hAnsi="Times New Roman"/>
          <w:b w:val="false"/>
          <w:i w:val="false"/>
          <w:color w:val="000000"/>
          <w:sz w:val="24"/>
        </w:rPr>
        <w:t xml:space="preserve"> for Medicaid members under 21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78.18(1)</w:t>
      </w:r>
      <w:r>
        <w:rPr>
          <w:rFonts w:ascii="Times New Roman" w:hAnsi="Times New Roman"/>
          <w:b w:val="false"/>
          <w:i w:val="false"/>
          <w:color w:val="000000"/>
          <w:sz w:val="24"/>
        </w:rPr>
        <w:t> </w:t>
      </w:r>
      <w:r>
        <w:rPr>
          <w:rFonts w:ascii="Times New Roman" w:hAnsi="Times New Roman"/>
          <w:b w:val="false"/>
          <w:i w:val="false"/>
          <w:color w:val="000000"/>
          <w:sz w:val="24"/>
        </w:rPr>
        <w:t>In order to be paid for the administration of a vaccine covered under the VFC program, a screening center must enroll in the VFC program. Payment for the vaccine will be approved only if the VFC program stock has been depleted.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78.18(2)</w:t>
      </w:r>
      <w:r>
        <w:rPr>
          <w:rFonts w:ascii="Times New Roman" w:hAnsi="Times New Roman"/>
          <w:b w:val="false"/>
          <w:i w:val="false"/>
          <w:color w:val="000000"/>
          <w:sz w:val="24"/>
        </w:rPr>
        <w:t> </w:t>
      </w:r>
      <w:r>
        <w:rPr>
          <w:rFonts w:ascii="Times New Roman" w:hAnsi="Times New Roman"/>
          <w:b w:val="false"/>
          <w:i w:val="false"/>
          <w:color w:val="000000"/>
          <w:sz w:val="24"/>
        </w:rPr>
        <w:t>Payment will be approved for necessary laboratory service related to an element of screening when performed by the screening center and billed as a separate item.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78.18(3)</w:t>
      </w:r>
      <w:r>
        <w:rPr>
          <w:rFonts w:ascii="Times New Roman" w:hAnsi="Times New Roman"/>
          <w:b w:val="false"/>
          <w:i w:val="false"/>
          <w:color w:val="000000"/>
          <w:sz w:val="24"/>
        </w:rPr>
        <w:t> </w:t>
      </w:r>
      <w:r>
        <w:rPr>
          <w:rFonts w:ascii="Times New Roman" w:hAnsi="Times New Roman"/>
          <w:b w:val="false"/>
          <w:i w:val="false"/>
          <w:color w:val="000000"/>
          <w:sz w:val="24"/>
        </w:rPr>
        <w:t>Periodicity schedules for health, hearing, vision, and dental screenings.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Payment will be approved for health, vision, and hearing screenings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Seven screenings in the first year of life.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Four screenings between the ages of 13 months and 30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One screening per year at ages three, four, five, and six.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One screening per year at ages 7 through 21.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Payment for dental screenings will be approved in conjunction with the health screenings up to age 12 months. Screenings will be approved at ages 12 months and 24 months and thereafter at six-month intervals up to age 21.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Interperiodic screenings will be approved as medically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78.18(4)</w:t>
      </w:r>
      <w:r>
        <w:rPr>
          <w:rFonts w:ascii="Times New Roman" w:hAnsi="Times New Roman"/>
          <w:b w:val="false"/>
          <w:i w:val="false"/>
          <w:color w:val="000000"/>
          <w:sz w:val="24"/>
        </w:rPr>
        <w:t> </w:t>
      </w:r>
      <w:r>
        <w:rPr>
          <w:rFonts w:ascii="Times New Roman" w:hAnsi="Times New Roman"/>
          <w:b w:val="false"/>
          <w:i w:val="false"/>
          <w:color w:val="000000"/>
          <w:sz w:val="24"/>
        </w:rPr>
        <w:t xml:space="preserve">When it is established by the periodicity schedule in </w:t>
      </w:r>
      <w:hyperlink r:id="rId139">
        <w:r>
          <w:rPr>
            <w:rStyle w:val="Hyperlink"/>
            <w:rFonts w:ascii="Times New Roman" w:hAnsi="Times New Roman"/>
            <w:b w:val="false"/>
            <w:i w:val="false"/>
            <w:color w:val="000000"/>
            <w:sz w:val="24"/>
          </w:rPr>
          <w:t>78.18(3)</w:t>
        </w:r>
      </w:hyperlink>
      <w:r>
        <w:rPr>
          <w:rFonts w:ascii="Times New Roman" w:hAnsi="Times New Roman"/>
          <w:b w:val="false"/>
          <w:i w:val="false"/>
          <w:color w:val="000000"/>
          <w:sz w:val="24"/>
        </w:rPr>
        <w:t xml:space="preserve"> that an individual is in need of screening, the individual will receive a notice that screening is due.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78.18(5)</w:t>
      </w:r>
      <w:r>
        <w:rPr>
          <w:rFonts w:ascii="Times New Roman" w:hAnsi="Times New Roman"/>
          <w:b w:val="false"/>
          <w:i w:val="false"/>
          <w:color w:val="000000"/>
          <w:sz w:val="24"/>
        </w:rPr>
        <w:t> </w:t>
      </w:r>
      <w:r>
        <w:rPr>
          <w:rFonts w:ascii="Times New Roman" w:hAnsi="Times New Roman"/>
          <w:b w:val="false"/>
          <w:i w:val="false"/>
          <w:color w:val="000000"/>
          <w:sz w:val="24"/>
        </w:rPr>
        <w:t>When an individual is screened, a member of the screening center shall complete a medical history. The medical history shall become part of the individual’s medical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78.18(6)</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78.18(7)</w:t>
      </w:r>
      <w:r>
        <w:rPr>
          <w:rFonts w:ascii="Times New Roman" w:hAnsi="Times New Roman"/>
          <w:b w:val="false"/>
          <w:i w:val="false"/>
          <w:color w:val="000000"/>
          <w:sz w:val="24"/>
        </w:rPr>
        <w:t> </w:t>
      </w:r>
      <w:r>
        <w:rPr>
          <w:rFonts w:ascii="Times New Roman" w:hAnsi="Times New Roman"/>
          <w:b w:val="false"/>
          <w:i w:val="false"/>
          <w:color w:val="000000"/>
          <w:sz w:val="24"/>
        </w:rPr>
        <w:t>Payment will be made for persons aged 20 and under for nutritional counseling provided by a licensed dietitian employed by or under contract with a screening center for a nutritional problem or condition of a degree of severity that nutritional counseling beyond that normally expected as part of the standard medical management is warranted. For persons eligible for the WIC program, a WIC referral is required. Medical necessity for nutritional counseling services exceeding those available through WIC shall be documented.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78.18(8)</w:t>
      </w:r>
      <w:r>
        <w:rPr>
          <w:rFonts w:ascii="Times New Roman" w:hAnsi="Times New Roman"/>
          <w:b w:val="false"/>
          <w:i w:val="false"/>
          <w:color w:val="000000"/>
          <w:sz w:val="24"/>
        </w:rPr>
        <w:t> </w:t>
      </w:r>
      <w:r>
        <w:rPr>
          <w:rFonts w:ascii="Times New Roman" w:hAnsi="Times New Roman"/>
          <w:b w:val="false"/>
          <w:i w:val="false"/>
          <w:color w:val="000000"/>
          <w:sz w:val="24"/>
        </w:rPr>
        <w:t>Payment will be made for dental services provided by a dental hygienist employed by or under contract with a screening center.</w:t>
      </w:r>
    </w:p>
    <w:p>
      <w:pPr>
        <w:spacing w:before="0" w:after="0" w:line="480"/>
        <w:ind w:left="120"/>
        <w:jc w:val="both"/>
      </w:pPr>
      <w:r>
        <w:rPr>
          <w:rFonts w:ascii="Times New Roman" w:hAnsi="Times New Roman"/>
          <w:b/>
          <w:i w:val="false"/>
          <w:color w:val="000000"/>
          <w:sz w:val="24"/>
        </w:rPr>
        <w:t>441—78.19</w:t>
      </w:r>
      <w:r>
        <w:rPr>
          <w:rFonts w:ascii="Times New Roman" w:hAnsi="Times New Roman"/>
          <w:b/>
          <w:i w:val="false"/>
          <w:color w:val="000000"/>
          <w:sz w:val="24"/>
        </w:rPr>
        <w:t xml:space="preserve">(249A) </w:t>
      </w:r>
      <w:r>
        <w:rPr>
          <w:rFonts w:ascii="Times New Roman" w:hAnsi="Times New Roman"/>
          <w:b/>
          <w:i w:val="false"/>
          <w:color w:val="000000"/>
          <w:sz w:val="24"/>
        </w:rPr>
        <w:t xml:space="preserve">Rehabilitation agencies.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78.19(1)</w:t>
      </w:r>
      <w:r>
        <w:rPr>
          <w:rFonts w:ascii="Times New Roman" w:hAnsi="Times New Roman"/>
          <w:b w:val="false"/>
          <w:i w:val="false"/>
          <w:color w:val="000000"/>
          <w:sz w:val="24"/>
        </w:rPr>
        <w:t> </w:t>
      </w:r>
      <w:r>
        <w:rPr>
          <w:rFonts w:ascii="Times New Roman" w:hAnsi="Times New Roman"/>
          <w:b w:val="false"/>
          <w:i/>
          <w:color w:val="000000"/>
          <w:sz w:val="24"/>
        </w:rPr>
        <w:t xml:space="preserve">Coverage of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General provisions regarding coverage of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Services are provided in the member’s home or in a care facility (other than a hospital) by a speech therapist, physical therapist, or occupational therapist employed by or contracted by the agency. A nursing facility, an ICF/ID, or a hospital where services are provided is not considered a member’s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Services provided to a member residing in a residential care facility licensed under Iowa Code section </w:t>
      </w:r>
      <w:hyperlink r:id="rId140">
        <w:r>
          <w:rPr>
            <w:rStyle w:val="Hyperlink"/>
            <w:rFonts w:ascii="Times New Roman" w:hAnsi="Times New Roman"/>
            <w:b w:val="false"/>
            <w:i w:val="false"/>
            <w:color w:val="000000"/>
            <w:sz w:val="24"/>
          </w:rPr>
          <w:t>135C.4</w:t>
        </w:r>
      </w:hyperlink>
      <w:r>
        <w:rPr>
          <w:rFonts w:ascii="Times New Roman" w:hAnsi="Times New Roman"/>
          <w:b w:val="false"/>
          <w:i w:val="false"/>
          <w:color w:val="000000"/>
          <w:sz w:val="24"/>
        </w:rPr>
        <w:t xml:space="preserve"> by the department of inspections, appeals, and licensing are payable when the residential care facility submits a signed statement that the residential care facility does not have these services available. The statement need only be submitted at the start of care unless the situation changes.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Under no circumstances will Iowa Medicaid or managed care organizations (MCOs) make payments to a rehabilitation agency for therapy provided to a member residing in a nursing facility or an ICF/ID. Physical, occupational, and speech therapy services for residents of the nursing facility, ICF/ID, or hospital are the responsibility of the nursing facility, ICF/ID, or hospital.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All services must be determined to be medically necessary, reasonable, and meet a significant need of the recipient that cannot be met by a family member, friend, medical staff personnel, or other caregiver; must meet accepted standards of medical practice; and must be a specific and effective treatment for a patient’s medical or disabling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In order for a service to be payable, a licensed therapist must complete a plan of treatment every 30 days and indicate the type of service required. The plan of treatment must contain the information noted in subrule </w:t>
      </w:r>
      <w:hyperlink r:id="rId141">
        <w:r>
          <w:rPr>
            <w:rStyle w:val="Hyperlink"/>
            <w:rFonts w:ascii="Times New Roman" w:hAnsi="Times New Roman"/>
            <w:b w:val="false"/>
            <w:i w:val="false"/>
            <w:color w:val="000000"/>
            <w:sz w:val="24"/>
          </w:rPr>
          <w:t>78.19(2)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There is no specific limitation on the number of visits for which payment through the program will be made so long as that amount of service is medically necessary in the individual case, is related to a diagnosed medical impairment or disabling condition and meets the current standards of practice in each related field. Documentation must be submitted with each claim to support the need for the number of services being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Payments will be made both for restorative service and also for maintenance types of service. Essentially, maintenance services means services to a patient whose condition is stabilized and who requires observation by a therapist of conditions defined by the physician as indicating a possible deterioration of health status. This would include persons with long-term illnesses or a disabling condition whose status is stable rather than posthospital. Refer to subparagraphs </w:t>
      </w:r>
      <w:hyperlink r:id="rId142">
        <w:r>
          <w:rPr>
            <w:rStyle w:val="Hyperlink"/>
            <w:rFonts w:ascii="Times New Roman" w:hAnsi="Times New Roman"/>
            <w:b w:val="false"/>
            <w:i w:val="false"/>
            <w:color w:val="000000"/>
            <w:sz w:val="24"/>
          </w:rPr>
          <w:t>78.19(1)</w:t>
        </w:r>
        <w:r>
          <w:rPr>
            <w:rFonts w:ascii="Times New Roman" w:hAnsi="Times New Roman"/>
            <w:b w:val="false"/>
            <w:i/>
            <w:color w:val="000000"/>
            <w:sz w:val="24"/>
          </w:rPr>
          <w:t>“b”</w:t>
        </w:r>
        <w:r>
          <w:rPr>
            <w:rFonts w:ascii="Times New Roman" w:hAnsi="Times New Roman"/>
            <w:b w:val="false"/>
            <w:i w:val="false"/>
            <w:color w:val="000000"/>
            <w:sz w:val="24"/>
          </w:rPr>
          <w:t>(7)</w:t>
        </w:r>
      </w:hyperlink>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(8) for guidelines under restorative and maintenance 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Restorative or maintenance therapy sessions must meet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There must be face-to-face patient contact interaction.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Services must be provided primarily on an individual basis. Group therapy is covered, but total units of service in a month shall not exceed total units of individual therapy. Family members receiving therapy may be included as part of a group.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Treatment sessions may be no less than 15 minutes of service and no more than 60 minutes of service per date unless more than 60 minutes of service is required for a treatment session due to the patient’s specific condition. If more than 60 minutes of service is required for a treatment session, additional documentation of the specific condition and the need for the longer treatment session shall be submitted with the claim. A unit of treatment shall be considered to be 15 minutes unless an untimed or encounter billing code is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Progress must be documented in measurable statistics in the progress notes in order for services to be reimbursed. Refer to subparagraphs </w:t>
      </w:r>
      <w:hyperlink r:id="rId143">
        <w:r>
          <w:rPr>
            <w:rStyle w:val="Hyperlink"/>
            <w:rFonts w:ascii="Times New Roman" w:hAnsi="Times New Roman"/>
            <w:b w:val="false"/>
            <w:i w:val="false"/>
            <w:color w:val="000000"/>
            <w:sz w:val="24"/>
          </w:rPr>
          <w:t>78.19(1)</w:t>
        </w:r>
        <w:r>
          <w:rPr>
            <w:rFonts w:ascii="Times New Roman" w:hAnsi="Times New Roman"/>
            <w:b w:val="false"/>
            <w:i/>
            <w:color w:val="000000"/>
            <w:sz w:val="24"/>
          </w:rPr>
          <w:t>“b”</w:t>
        </w:r>
        <w:r>
          <w:rPr>
            <w:rFonts w:ascii="Times New Roman" w:hAnsi="Times New Roman"/>
            <w:b w:val="false"/>
            <w:i w:val="false"/>
            <w:color w:val="000000"/>
            <w:sz w:val="24"/>
          </w:rPr>
          <w:t>(7)</w:t>
        </w:r>
      </w:hyperlink>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(8) for guidelines under restorative and maintenance 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will be made for an appropriate period of diagnostic therapy or trial therapy (up to two months) to determine a patient’s rehabilitation potential and establish appropriate short-term and long-term goals. Documentation must be submitted with each plan to support the need for diagnostic or trial therapy. Refer to subparagraph </w:t>
      </w:r>
      <w:hyperlink r:id="rId144">
        <w:r>
          <w:rPr>
            <w:rStyle w:val="Hyperlink"/>
            <w:rFonts w:ascii="Times New Roman" w:hAnsi="Times New Roman"/>
            <w:b w:val="false"/>
            <w:i w:val="false"/>
            <w:color w:val="000000"/>
            <w:sz w:val="24"/>
          </w:rPr>
          <w:t>78.19(1)</w:t>
        </w:r>
        <w:r>
          <w:rPr>
            <w:rFonts w:ascii="Times New Roman" w:hAnsi="Times New Roman"/>
            <w:b w:val="false"/>
            <w:i/>
            <w:color w:val="000000"/>
            <w:sz w:val="24"/>
          </w:rPr>
          <w:t>“b”</w:t>
        </w:r>
        <w:r>
          <w:rPr>
            <w:rFonts w:ascii="Times New Roman" w:hAnsi="Times New Roman"/>
            <w:b w:val="false"/>
            <w:i w:val="false"/>
            <w:color w:val="000000"/>
            <w:sz w:val="24"/>
          </w:rPr>
          <w:t>(16)</w:t>
        </w:r>
      </w:hyperlink>
      <w:r>
        <w:rPr>
          <w:rFonts w:ascii="Times New Roman" w:hAnsi="Times New Roman"/>
          <w:b w:val="false"/>
          <w:i w:val="false"/>
          <w:color w:val="000000"/>
          <w:sz w:val="24"/>
        </w:rPr>
        <w:t xml:space="preserve"> for guidelines under diagnostic or trial 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Physical therapy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To be covered under rehabilitation agency services, physical therapy services must relate directly and specifically to an active written treatment plan, follow a treatment plan established by the licensed therapist after consultation with the physician, be reasonable and necessary to the treatment of the person’s illness, injury, or disabling condition, be specific and effective treatment for the patient’s medical or disabling condition, and be of such a level of complexity and sophistication, or the condition of the patient must be such that the services required can be safely and effectively performed only by a qualified physical therapist or under the supervision of the therapist.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qualified physical therapist assistant may provide any restorative services performed by a licensed physical therapist under supervision of the therapist.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initial physical therapy evaluation must be provided by a licensed physical therapist.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There must be an expectation that there will be a significant, practical improvement in the patient’s condition in a reasonable amount of time based on the patient’s restorative potential assessed by the physician.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It must be demonstrated there is a need to establish a safe and effective maintenance program related to a specific disease state, illness, injury, or disabling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amount, frequency, and duration of the services must be reasonable.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Restorative therapy must be reasonable and necessary to the treatment of the patient’s injury or disabling condition. The expected restorative potential must be practical and in relation to the extent and duration of the treatment. There must be an expectation that the patient’s medical or disabling condition will show functional improvement in a reasonable period of time. Functional improvement means that demonstrable measurable increases have occurred in the patient’s level of independence outside the therapeutic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Generally, maintenance therapy means services to a patient whose condition is stabilized and who requires observation by a therapist of conditions defined by the physician as indicating a possible deterioration of health status. This includes persons with long-term illnesses or disabling conditions whose status is stable rather than posthospital. Maintenance therapy is also appropriate for individuals whose condition is such that a professionally established program of activities, exercises, or stimulation is medically necessary to prevent deterioration or maintain present functioning levels.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Where a maintenance program is appropriate, the initial evaluation and the instruction of the patient, family members, home health aides, facility personnel, or other caregivers to carry out the program are considered a covered physical therapy service. Payment shall be made for a maximum of three visits to establish a maintenance program and instruct the caregivers. Payment for supervisory visits to monitor the program is limited to two per month for a maximum period of 12 months. The plan of treatment must specify the anticipated monitoring activity of the supervisor.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Beyond evaluation, instruction, and monitoring, maintenance therapy is not reimbursable.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After 12 months of maintenance therapy, a reevaluation is a covered service, if medically necessary. A reevaluation will be considered medically necessary only if there is a significant change in residential or employment situation or the patient exhibits an increase or decrease in functional ability or motivation, clearing of confusion, or the remission of some other medical condition which previously contraindicated restorative therapy. A statement by the interdisciplinary team of a person with developmental disabilities recommending a reevaluation and stating the basis for medical necessity will be considered as supporting the necessity of a reevaluation and may expedite approval.</w:t>
      </w:r>
    </w:p>
    <w:p>
      <w:pPr>
        <w:spacing w:before="0" w:after="0" w:line="480"/>
        <w:ind w:left="120"/>
        <w:jc w:val="both"/>
      </w:pPr>
      <w:r>
        <w:rPr>
          <w:rFonts w:ascii="Times New Roman" w:hAnsi="Times New Roman"/>
          <w:b w:val="false"/>
          <w:i w:val="false"/>
          <w:color w:val="000000"/>
          <w:sz w:val="24"/>
        </w:rPr>
        <w:t>(Restorative and maintenance therapy definitions also apply to speech and occupational 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When a patient is under a restorative physical therapy program, the patient’s condition is regularly reevaluated and the program adjusted by the physical therapist. It is expected that prior to discharge, a maintenance program has been designed by the physical therapist. Consequently, where a maintenance program is not established until after the restorative program has been completed, it would not be considered reasonable and necessary to the treatment of the patient’s condition and would be excluded from coverage.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Hot packs, hydrocollator, infrared treatments, paraffin baths, and whirlpool baths do not ordinarily require the skills of a qualified physical therapist. These are covered when the patient’s condition is complicated by other conditions such as a circulatory deficiency or open wounds or if the service is an integral part of a skilled physical therapy procedure.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Gait training and gait evaluation and training constitute a covered service if the patient’s ability to walk has been impaired by a neurological, muscular or skeletal condition or illness. The gait training must be expected to significantly improve the patient’s ability to walk or level of independence.</w:t>
      </w:r>
    </w:p>
    <w:p>
      <w:pPr>
        <w:spacing w:before="0" w:after="0" w:line="480"/>
        <w:ind w:left="120"/>
        <w:jc w:val="both"/>
      </w:pPr>
      <w:r>
        <w:rPr>
          <w:rFonts w:ascii="Times New Roman" w:hAnsi="Times New Roman"/>
          <w:b w:val="false"/>
          <w:i w:val="false"/>
          <w:color w:val="000000"/>
          <w:sz w:val="24"/>
        </w:rPr>
        <w:t>Repetitious exercise to increase endurance of weak or unstable patients can be safely provided by supportive personnel, e.g., aides, nursing personnel. Therefore, it is not a covered physical therapy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Ultrasound, shortwave, and microwave diathermy treatments are considered covered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Range of motion tests must be performed by a qualified physical therapist. Range of motion exercises require the skills of a qualified physical therapist only when they are part of the active treatment of a specific disease or disabling condition which has resulted in a loss or restriction of mobility.</w:t>
      </w:r>
    </w:p>
    <w:p>
      <w:pPr>
        <w:spacing w:before="0" w:after="0" w:line="480"/>
        <w:ind w:left="120"/>
        <w:jc w:val="both"/>
      </w:pPr>
      <w:r>
        <w:rPr>
          <w:rFonts w:ascii="Times New Roman" w:hAnsi="Times New Roman"/>
          <w:b w:val="false"/>
          <w:i w:val="false"/>
          <w:color w:val="000000"/>
          <w:sz w:val="24"/>
        </w:rPr>
        <w:t>Documentation must reflect the degree of motion lost, the normal range of motion, and the degree to be restored.</w:t>
      </w:r>
    </w:p>
    <w:p>
      <w:pPr>
        <w:spacing w:before="0" w:after="0" w:line="480"/>
        <w:ind w:left="120"/>
        <w:jc w:val="both"/>
      </w:pPr>
      <w:r>
        <w:rPr>
          <w:rFonts w:ascii="Times New Roman" w:hAnsi="Times New Roman"/>
          <w:b w:val="false"/>
          <w:i w:val="false"/>
          <w:color w:val="000000"/>
          <w:sz w:val="24"/>
        </w:rPr>
        <w:t>Range of motion to unaffected joints only does not constitute a covered physical therapy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Reconditioning programs after surgery or prolonged hospitalization are not covered as physical 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Therapeutic exercises would constitute a physical therapy service due either to the type of exercise employed or to the condition of the patient.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Use of isokinetic or isotonic type equipment in physical therapy is covered when normal range of motion of a joint is affected due to bone, joint, ligament or tendon injury or postsurgical trauma. Billing can only be made for the time actually spent by the therapist in instructing the patient and assessing the patient’s progress.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When recipients do not meet restorative or maintenance therapy criteria, diagnostic or trial therapy may be utilized. When the initial evaluation is not sufficient to determine whether there are rehabilitative goals that should be addressed, diagnostic or trial therapy to establish goals will be considered appropriate. Diagnostic or trial therapy may be appropriate for recipients who need evaluation in multiple environments in order to adequately determine their rehabilitative potential. Diagnostic or trial therapy consideration may be appropriate when there is a need to assess the patient’s response to treatment in the recipient’s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When during diagnostic or trial therapy a recipient has been sufficiently evaluated to determine potential for restorative or maintenance therapy, or lack of therapy potential, diagnostic or trial therapy ends. When as a result of diagnostic or trial therapy, restorative or maintenance therapy is found appropriate, claims shall be submitted noting restorative or maintenance therapy (instead of diagnostic or trial 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At the end of diagnostic or trial therapy, the rehabilitation provider shall recommend continuance of services under restorative therapy, recommend continuance of services under maintenance therapy, or recommend discontinuance of services. Continuance of services under restorative or maintenance therapy will be reviewed based on the criteria in place for restorative or maintenance 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Trial therapy shall not be granted more often than once per year for the same issue. If the recipient has a previous history of rehabilitative services, trial therapy for the same type of services generally would be payable only when a significant change has occurred since the last therapy. Requests for subsequent diagnostic or trial therapy for the same issue would require documentation reflecting a significant change. See numbered paragraph “4” below for guidelines under a significant change. Further diagnostic or trial therapy for the same issue would not be considered appropriate when progress was not achieved unless the reasons that blocked change previously are listed and the reasons the new diagnostic or trial therapy would not have these blocks are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number of diagnostic or trial therapy hours authorized in the initial treatment period shall not exceed 12 hours per month. Documentation of the medical necessity and the plan for services under diagnostic trial therapy are required as they will be reviewed in the determination of the medical necessity of the number of hours of service provided.</w:t>
      </w:r>
    </w:p>
    <w:p>
      <w:pPr>
        <w:spacing w:before="0" w:after="0" w:line="480"/>
        <w:ind w:left="120"/>
        <w:jc w:val="both"/>
      </w:pPr>
      <w:r>
        <w:rPr>
          <w:rFonts w:ascii="Times New Roman" w:hAnsi="Times New Roman"/>
          <w:b w:val="false"/>
          <w:i w:val="false"/>
          <w:color w:val="000000"/>
          <w:sz w:val="24"/>
        </w:rPr>
        <w:t>Diagnostic or trial therapy standards also apply to speech and occupational therapy.</w:t>
      </w:r>
    </w:p>
    <w:p>
      <w:pPr>
        <w:spacing w:before="0" w:after="0" w:line="480"/>
        <w:ind w:left="120"/>
        <w:jc w:val="both"/>
      </w:pPr>
      <w:r>
        <w:rPr>
          <w:rFonts w:ascii="Times New Roman" w:hAnsi="Times New Roman"/>
          <w:b w:val="false"/>
          <w:i w:val="false"/>
          <w:color w:val="000000"/>
          <w:sz w:val="24"/>
        </w:rPr>
        <w:t>The following criteria additionally must be met: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There must be face-to-face interaction with a licensed therapist. (An aide’s services will not be payable.)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Services must be provided on an individual basis. (Group diagnostic or trial therapy will not be payable.)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Documentation of the diagnostic therapy or trial therapy must reflect the provider’s plan for therapy and the recipient’s response.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If the recipient has a previous history of rehabilitative services, trial therapy for the same type of services generally would be payable only when a significant change has occurred since the last therapy. A significant change would be considered as having occurred when any of the following exist: new onset, new problem, new need, new growth issue, a change in vocational or residential setting that requires a reevaluation of potential, or surgical intervention that may have caused new rehabilitative potentials.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For persons who received previous rehabilitative treatment, consideration of trial therapy generally should occur only if the person has incorporated any regimen recommended during prior treatment into the person’s daily life to the extent of the person’s abilities.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Documentation should include any previous attempts to resolve problems using nontherapy personnel (i.e., residential group home staff, family members, etc.) and whether follow-up programs from previous therapy have been carried out.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Referrals from residential, vocational or other rehabilitation personnel that do not meet present evaluation, restorative or maintenance criteria shall be considered for trial therapy. Documentation of the proposed service, the medical necessity and the current medical or disabling condition, including any secondary rehabilitative diagnosis, will need to be submitted with the claim.</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Claims for diagnostic or trial therapy shall reflect the progress being made toward the initial diagnostic or trial therapy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Occupational therapy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To be covered under rehabilitation agency services, occupational therapy services must be included in a plan of treatment, improve or restore practical functions that have been impaired by illness, injury, or disabling condition, or enhance the person’s ability to perform those tasks required for independent functioning, be prescribed by a physician under a plan of treatment, be performed by a qualified licensed occupational therapist or a qualified licensed occupational therapist assistant under the general supervision of a qualified licensed occupational therapist, and be reasonable and necessary for the treatment of the person’s illness, injury, or disabling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Restorative therapy is covered when an expectation exists that the therapy will result in a significant practical improvement in the person’s condition.</w:t>
      </w:r>
    </w:p>
    <w:p>
      <w:pPr>
        <w:spacing w:before="0" w:after="0" w:line="480"/>
        <w:ind w:left="120"/>
        <w:jc w:val="both"/>
      </w:pPr>
      <w:r>
        <w:rPr>
          <w:rFonts w:ascii="Times New Roman" w:hAnsi="Times New Roman"/>
          <w:b w:val="false"/>
          <w:i w:val="false"/>
          <w:color w:val="000000"/>
          <w:sz w:val="24"/>
        </w:rPr>
        <w:t>However, in these cases where there is a valid expectation of improvement met at the time the occupational therapy program is instituted, but the expectation goal is not realized, services would only be covered up to the time one would reasonably conclude the patient would not improve.</w:t>
      </w:r>
    </w:p>
    <w:p>
      <w:pPr>
        <w:spacing w:before="0" w:after="0" w:line="480"/>
        <w:ind w:left="120"/>
        <w:jc w:val="both"/>
      </w:pPr>
      <w:r>
        <w:rPr>
          <w:rFonts w:ascii="Times New Roman" w:hAnsi="Times New Roman"/>
          <w:b w:val="false"/>
          <w:i w:val="false"/>
          <w:color w:val="000000"/>
          <w:sz w:val="24"/>
        </w:rPr>
        <w:t xml:space="preserve">The guidelines under restorative therapy, maintenance therapy, and diagnostic or trial therapy for physical therapy in subparagraphs </w:t>
      </w:r>
      <w:hyperlink r:id="rId145">
        <w:r>
          <w:rPr>
            <w:rStyle w:val="Hyperlink"/>
            <w:rFonts w:ascii="Times New Roman" w:hAnsi="Times New Roman"/>
            <w:b w:val="false"/>
            <w:i w:val="false"/>
            <w:color w:val="000000"/>
            <w:sz w:val="24"/>
          </w:rPr>
          <w:t>78.19(1)</w:t>
        </w:r>
        <w:r>
          <w:rPr>
            <w:rFonts w:ascii="Times New Roman" w:hAnsi="Times New Roman"/>
            <w:b w:val="false"/>
            <w:i/>
            <w:color w:val="000000"/>
            <w:sz w:val="24"/>
          </w:rPr>
          <w:t>“b”</w:t>
        </w:r>
        <w:r>
          <w:rPr>
            <w:rFonts w:ascii="Times New Roman" w:hAnsi="Times New Roman"/>
            <w:b w:val="false"/>
            <w:i w:val="false"/>
            <w:color w:val="000000"/>
            <w:sz w:val="24"/>
          </w:rPr>
          <w:t>(7)</w:t>
        </w:r>
      </w:hyperlink>
      <w:r>
        <w:rPr>
          <w:rFonts w:ascii="Times New Roman" w:hAnsi="Times New Roman"/>
          <w:b w:val="false"/>
          <w:i w:val="false"/>
          <w:color w:val="000000"/>
          <w:sz w:val="24"/>
        </w:rPr>
        <w:t xml:space="preserve">, </w:t>
      </w:r>
      <w:r>
        <w:rPr>
          <w:rFonts w:ascii="Times New Roman" w:hAnsi="Times New Roman"/>
          <w:b w:val="false"/>
          <w:i/>
          <w:color w:val="000000"/>
          <w:sz w:val="24"/>
        </w:rPr>
        <w:t>“b”</w:t>
      </w:r>
      <w:r>
        <w:rPr>
          <w:rFonts w:ascii="Times New Roman" w:hAnsi="Times New Roman"/>
          <w:b w:val="false"/>
          <w:i w:val="false"/>
          <w:color w:val="000000"/>
          <w:sz w:val="24"/>
        </w:rPr>
        <w:t xml:space="preserve">(8), and </w:t>
      </w:r>
      <w:r>
        <w:rPr>
          <w:rFonts w:ascii="Times New Roman" w:hAnsi="Times New Roman"/>
          <w:b w:val="false"/>
          <w:i/>
          <w:color w:val="000000"/>
          <w:sz w:val="24"/>
        </w:rPr>
        <w:t>“b”</w:t>
      </w:r>
      <w:r>
        <w:rPr>
          <w:rFonts w:ascii="Times New Roman" w:hAnsi="Times New Roman"/>
          <w:b w:val="false"/>
          <w:i w:val="false"/>
          <w:color w:val="000000"/>
          <w:sz w:val="24"/>
        </w:rPr>
        <w:t>(16) apply to occupational 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Maintenance therapy, or any activity or exercise program required to maintain a function at the restored level, is not a covered service. However, designing a maintenance program in accordance with the requirements of subparagraph </w:t>
      </w:r>
      <w:hyperlink r:id="rId146">
        <w:r>
          <w:rPr>
            <w:rStyle w:val="Hyperlink"/>
            <w:rFonts w:ascii="Times New Roman" w:hAnsi="Times New Roman"/>
            <w:b w:val="false"/>
            <w:i w:val="false"/>
            <w:color w:val="000000"/>
            <w:sz w:val="24"/>
          </w:rPr>
          <w:t>78.19(1)</w:t>
        </w:r>
        <w:r>
          <w:rPr>
            <w:rFonts w:ascii="Times New Roman" w:hAnsi="Times New Roman"/>
            <w:b w:val="false"/>
            <w:i/>
            <w:color w:val="000000"/>
            <w:sz w:val="24"/>
          </w:rPr>
          <w:t>“b”</w:t>
        </w:r>
        <w:r>
          <w:rPr>
            <w:rFonts w:ascii="Times New Roman" w:hAnsi="Times New Roman"/>
            <w:b w:val="false"/>
            <w:i w:val="false"/>
            <w:color w:val="000000"/>
            <w:sz w:val="24"/>
          </w:rPr>
          <w:t>(8)</w:t>
        </w:r>
      </w:hyperlink>
      <w:r>
        <w:rPr>
          <w:rFonts w:ascii="Times New Roman" w:hAnsi="Times New Roman"/>
          <w:b w:val="false"/>
          <w:i w:val="false"/>
          <w:color w:val="000000"/>
          <w:sz w:val="24"/>
        </w:rPr>
        <w:t xml:space="preserve"> and monitoring the progress would be covered.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selection and teaching of tasks designed to restore physical function are covered.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Planning and implementing therapeutic tasks, such as activities to restore sensory-integrative functions are covered. Other examples include providing motor and tactile activities to increase input and improve responses for a stroke patient.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teaching of activities of daily living and energy conservation to improve the level of independence of a patient that require the skill of a licensed therapist and meet the definition of restorative therapy is covered.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designing, fabricating, and fitting of orthotic and self-help devices are considered covered services if they relate to the patient’s condition and require occupational therapy. A maximum of 13 visits is reimbursable.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Vocational and prevocational assessment and training are not payable by Medicaid. These include services that are related solely to specific employment opportunities, work skills, or work settings.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Speech therapy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To be covered by Medicaid as rehabilitation agency services, speech therapy services must be included in a plan of treatment established by the licensed, skilled therapist after consultation with the physician, relate to a specific medical diagnosis that will significantly improve a patient’s practical, functional level in a reasonable and predictable time period, and require the skilled services of a speech therapist. Services provided by a speech aide are not reimbursable.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Speech therapy activities that are considered covered services include: restorative therapy services to restore functions affected by illness, injury, or disabling condition resulting in a communication impairment or to develop functions where deficiencies currently exist. Communication impairments fall into the general categories of disorders of voice, fluency, articulation, language, and swallowing disorders resulting from any condition other than mental impairment. Treatment of these conditions is payable if restorative criteria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Aural rehabilitation, the instruction given by a qualified speech pathologist in speech reading or lip reading to patients who have suffered a hearing loss or become hard of hearing (input impairment), constitutes a covered service if reasonable and necessary to the patient’s illness or injury. Group treatment is not covered. Audiological services related to the use of a hearing aid are not reimbursable.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Teaching a patient to use sign language and to use an augmentative communication device is reimbursable. The patient must show significant progress outside the therapy sessions in order for these services to be reimbursable.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Where a maintenance program is appropriate, the initial evaluation, the instruction of the patient and caregivers to carry out the program, and supervisory visits to monitor progress are covered services. Beyond evaluation, instruction, and monitoring, maintenance therapy is not reimbursable. However, designing a maintenance program in accordance with the requirements of maintenance therapy and monitoring the progress are covered.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The guidelines and limits on restorative therapy, maintenance therapy, and diagnostic or trial therapy for physical therapy in subparagraphs </w:t>
      </w:r>
      <w:hyperlink r:id="rId147">
        <w:r>
          <w:rPr>
            <w:rStyle w:val="Hyperlink"/>
            <w:rFonts w:ascii="Times New Roman" w:hAnsi="Times New Roman"/>
            <w:b w:val="false"/>
            <w:i w:val="false"/>
            <w:color w:val="000000"/>
            <w:sz w:val="24"/>
          </w:rPr>
          <w:t>78.19(1)</w:t>
        </w:r>
        <w:r>
          <w:rPr>
            <w:rFonts w:ascii="Times New Roman" w:hAnsi="Times New Roman"/>
            <w:b w:val="false"/>
            <w:i/>
            <w:color w:val="000000"/>
            <w:sz w:val="24"/>
          </w:rPr>
          <w:t>“b”</w:t>
        </w:r>
        <w:r>
          <w:rPr>
            <w:rFonts w:ascii="Times New Roman" w:hAnsi="Times New Roman"/>
            <w:b w:val="false"/>
            <w:i w:val="false"/>
            <w:color w:val="000000"/>
            <w:sz w:val="24"/>
          </w:rPr>
          <w:t>(7)</w:t>
        </w:r>
      </w:hyperlink>
      <w:r>
        <w:rPr>
          <w:rFonts w:ascii="Times New Roman" w:hAnsi="Times New Roman"/>
          <w:b w:val="false"/>
          <w:i w:val="false"/>
          <w:color w:val="000000"/>
          <w:sz w:val="24"/>
        </w:rPr>
        <w:t xml:space="preserve">, </w:t>
      </w:r>
      <w:r>
        <w:rPr>
          <w:rFonts w:ascii="Times New Roman" w:hAnsi="Times New Roman"/>
          <w:b w:val="false"/>
          <w:i/>
          <w:color w:val="000000"/>
          <w:sz w:val="24"/>
        </w:rPr>
        <w:t>“b”</w:t>
      </w:r>
      <w:r>
        <w:rPr>
          <w:rFonts w:ascii="Times New Roman" w:hAnsi="Times New Roman"/>
          <w:b w:val="false"/>
          <w:i w:val="false"/>
          <w:color w:val="000000"/>
          <w:sz w:val="24"/>
        </w:rPr>
        <w:t xml:space="preserve">(8), and </w:t>
      </w:r>
      <w:r>
        <w:rPr>
          <w:rFonts w:ascii="Times New Roman" w:hAnsi="Times New Roman"/>
          <w:b w:val="false"/>
          <w:i/>
          <w:color w:val="000000"/>
          <w:sz w:val="24"/>
        </w:rPr>
        <w:t>“b”</w:t>
      </w:r>
      <w:r>
        <w:rPr>
          <w:rFonts w:ascii="Times New Roman" w:hAnsi="Times New Roman"/>
          <w:b w:val="false"/>
          <w:i w:val="false"/>
          <w:color w:val="000000"/>
          <w:sz w:val="24"/>
        </w:rPr>
        <w:t xml:space="preserve">(16) apply to speech therapy. If the only goal of prior rehabilitative speech therapy was to learn the prerequisite speech components, then the fifth paragraph under subparagraph </w:t>
      </w:r>
      <w:hyperlink r:id="rId148">
        <w:r>
          <w:rPr>
            <w:rStyle w:val="Hyperlink"/>
            <w:rFonts w:ascii="Times New Roman" w:hAnsi="Times New Roman"/>
            <w:b w:val="false"/>
            <w:i w:val="false"/>
            <w:color w:val="000000"/>
            <w:sz w:val="24"/>
          </w:rPr>
          <w:t>78.19(1)</w:t>
        </w:r>
        <w:r>
          <w:rPr>
            <w:rFonts w:ascii="Times New Roman" w:hAnsi="Times New Roman"/>
            <w:b w:val="false"/>
            <w:i/>
            <w:color w:val="000000"/>
            <w:sz w:val="24"/>
          </w:rPr>
          <w:t>“b”</w:t>
        </w:r>
        <w:r>
          <w:rPr>
            <w:rFonts w:ascii="Times New Roman" w:hAnsi="Times New Roman"/>
            <w:b w:val="false"/>
            <w:i w:val="false"/>
            <w:color w:val="000000"/>
            <w:sz w:val="24"/>
          </w:rPr>
          <w:t>(16)</w:t>
        </w:r>
      </w:hyperlink>
      <w:r>
        <w:rPr>
          <w:rFonts w:ascii="Times New Roman" w:hAnsi="Times New Roman"/>
          <w:b w:val="false"/>
          <w:i w:val="false"/>
          <w:color w:val="000000"/>
          <w:sz w:val="24"/>
        </w:rPr>
        <w:t xml:space="preserve"> will not apply to trial 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78.19(2)</w:t>
      </w:r>
      <w:r>
        <w:rPr>
          <w:rFonts w:ascii="Times New Roman" w:hAnsi="Times New Roman"/>
          <w:b w:val="false"/>
          <w:i w:val="false"/>
          <w:color w:val="000000"/>
          <w:sz w:val="24"/>
        </w:rPr>
        <w:t> </w:t>
      </w:r>
      <w:r>
        <w:rPr>
          <w:rFonts w:ascii="Times New Roman" w:hAnsi="Times New Roman"/>
          <w:b w:val="false"/>
          <w:i/>
          <w:color w:val="000000"/>
          <w:sz w:val="24"/>
        </w:rPr>
        <w:t xml:space="preserve">General guidelines for plans of treatment.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minimum information to be included on medical information forms and treatment plans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patient’s current medical condition and functional abilities, including any disabling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physician’s signature and date (within the certification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Certification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Patient’s progress in measurable statistics. (Refer to subparagraph </w:t>
      </w:r>
      <w:hyperlink r:id="rId149">
        <w:r>
          <w:rPr>
            <w:rStyle w:val="Hyperlink"/>
            <w:rFonts w:ascii="Times New Roman" w:hAnsi="Times New Roman"/>
            <w:b w:val="false"/>
            <w:i w:val="false"/>
            <w:color w:val="000000"/>
            <w:sz w:val="24"/>
          </w:rPr>
          <w:t>78.19(1)</w:t>
        </w:r>
        <w:r>
          <w:rPr>
            <w:rFonts w:ascii="Times New Roman" w:hAnsi="Times New Roman"/>
            <w:b w:val="false"/>
            <w:i/>
            <w:color w:val="000000"/>
            <w:sz w:val="24"/>
          </w:rPr>
          <w:t>“b”</w:t>
        </w:r>
        <w:r>
          <w:rPr>
            <w:rFonts w:ascii="Times New Roman" w:hAnsi="Times New Roman"/>
            <w:b w:val="false"/>
            <w:i w:val="false"/>
            <w:color w:val="000000"/>
            <w:sz w:val="24"/>
          </w:rPr>
          <w:t>(16)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place services are rendered.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Dates of prior hospitalization (if applicable or known).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Dates of prior surgery (if applicable or known).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date the patient was last seen by the physician (if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A diagnosis relevant to the medical necessity for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Dates of onset of any diagnoses for which treatment is being rendered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A brief summary of the initial evaluation or baseline.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The patient’s prognosis.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The services to be rendered.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The frequency of the services and discipline of the person providing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The anticipated duration of the services and the estimated date of discharge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Assistive devices to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(17)</w:t>
      </w:r>
      <w:r>
        <w:rPr>
          <w:rFonts w:ascii="Times New Roman" w:hAnsi="Times New Roman"/>
          <w:b w:val="false"/>
          <w:i w:val="false"/>
          <w:color w:val="000000"/>
          <w:sz w:val="24"/>
        </w:rPr>
        <w:t>  </w:t>
      </w:r>
      <w:r>
        <w:rPr>
          <w:rFonts w:ascii="Times New Roman" w:hAnsi="Times New Roman"/>
          <w:b w:val="false"/>
          <w:i w:val="false"/>
          <w:color w:val="000000"/>
          <w:sz w:val="24"/>
        </w:rPr>
        <w:t>Functional limitations.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(18)</w:t>
      </w:r>
      <w:r>
        <w:rPr>
          <w:rFonts w:ascii="Times New Roman" w:hAnsi="Times New Roman"/>
          <w:b w:val="false"/>
          <w:i w:val="false"/>
          <w:color w:val="000000"/>
          <w:sz w:val="24"/>
        </w:rPr>
        <w:t>  </w:t>
      </w:r>
      <w:r>
        <w:rPr>
          <w:rFonts w:ascii="Times New Roman" w:hAnsi="Times New Roman"/>
          <w:b w:val="false"/>
          <w:i w:val="false"/>
          <w:color w:val="000000"/>
          <w:sz w:val="24"/>
        </w:rPr>
        <w:t>The patient’s rehabilitative potential and the extent to which the patient has been able to apply the skills learned in the rehabilitation setting to everyday living outside the therapy sessions.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(19)</w:t>
      </w:r>
      <w:r>
        <w:rPr>
          <w:rFonts w:ascii="Times New Roman" w:hAnsi="Times New Roman"/>
          <w:b w:val="false"/>
          <w:i w:val="false"/>
          <w:color w:val="000000"/>
          <w:sz w:val="24"/>
        </w:rPr>
        <w:t>  </w:t>
      </w:r>
      <w:r>
        <w:rPr>
          <w:rFonts w:ascii="Times New Roman" w:hAnsi="Times New Roman"/>
          <w:b w:val="false"/>
          <w:i w:val="false"/>
          <w:color w:val="000000"/>
          <w:sz w:val="24"/>
        </w:rPr>
        <w:t>The date of the last episode of instability or the date of the last episode of acute recurrence of illness or symptoms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(20)</w:t>
      </w:r>
      <w:r>
        <w:rPr>
          <w:rFonts w:ascii="Times New Roman" w:hAnsi="Times New Roman"/>
          <w:b w:val="false"/>
          <w:i w:val="false"/>
          <w:color w:val="000000"/>
          <w:sz w:val="24"/>
        </w:rPr>
        <w:t>  </w:t>
      </w:r>
      <w:r>
        <w:rPr>
          <w:rFonts w:ascii="Times New Roman" w:hAnsi="Times New Roman"/>
          <w:b w:val="false"/>
          <w:i w:val="false"/>
          <w:color w:val="000000"/>
          <w:sz w:val="24"/>
        </w:rPr>
        <w:t>Quantitative, measurable, short-term and long-term functional goals.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(21)</w:t>
      </w:r>
      <w:r>
        <w:rPr>
          <w:rFonts w:ascii="Times New Roman" w:hAnsi="Times New Roman"/>
          <w:b w:val="false"/>
          <w:i w:val="false"/>
          <w:color w:val="000000"/>
          <w:sz w:val="24"/>
        </w:rPr>
        <w:t>  </w:t>
      </w:r>
      <w:r>
        <w:rPr>
          <w:rFonts w:ascii="Times New Roman" w:hAnsi="Times New Roman"/>
          <w:b w:val="false"/>
          <w:i w:val="false"/>
          <w:color w:val="000000"/>
          <w:sz w:val="24"/>
        </w:rPr>
        <w:t>The period of time of a session.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(22)</w:t>
      </w:r>
      <w:r>
        <w:rPr>
          <w:rFonts w:ascii="Times New Roman" w:hAnsi="Times New Roman"/>
          <w:b w:val="false"/>
          <w:i w:val="false"/>
          <w:color w:val="000000"/>
          <w:sz w:val="24"/>
        </w:rPr>
        <w:t>  </w:t>
      </w:r>
      <w:r>
        <w:rPr>
          <w:rFonts w:ascii="Times New Roman" w:hAnsi="Times New Roman"/>
          <w:b w:val="false"/>
          <w:i w:val="false"/>
          <w:color w:val="000000"/>
          <w:sz w:val="24"/>
        </w:rPr>
        <w:t>Prior treatment (history related to current diagnosis) if available or known.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information to be included when developing plans for teaching, training, and counseling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To whom the services were provided (patient, family member, etc.).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Prior teaching, training, or counseling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medical necessity of the rendered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identification of specific services and goals.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date of the start of the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frequency of the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Progress in response to the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estimated length of time the services are needed.</w:t>
      </w:r>
    </w:p>
    <w:p>
      <w:pPr>
        <w:spacing w:before="210" w:after="0" w:line="480"/>
        <w:ind w:left="120"/>
        <w:jc w:val="both"/>
      </w:pPr>
      <w:r>
        <w:rPr>
          <w:rFonts w:ascii="Times New Roman" w:hAnsi="Times New Roman"/>
          <w:b/>
          <w:i w:val="false"/>
          <w:color w:val="000000"/>
          <w:sz w:val="24"/>
        </w:rPr>
        <w:t>441—78.20</w:t>
      </w:r>
      <w:r>
        <w:rPr>
          <w:rFonts w:ascii="Times New Roman" w:hAnsi="Times New Roman"/>
          <w:b/>
          <w:i w:val="false"/>
          <w:color w:val="000000"/>
          <w:sz w:val="24"/>
        </w:rPr>
        <w:t xml:space="preserve">(249A) </w:t>
      </w:r>
      <w:r>
        <w:rPr>
          <w:rFonts w:ascii="Times New Roman" w:hAnsi="Times New Roman"/>
          <w:b/>
          <w:i w:val="false"/>
          <w:color w:val="000000"/>
          <w:sz w:val="24"/>
        </w:rPr>
        <w:t xml:space="preserve">Independent laboratories. </w:t>
      </w:r>
      <w:r>
        <w:rPr>
          <w:rFonts w:ascii="Times New Roman" w:hAnsi="Times New Roman"/>
          <w:b w:val="false"/>
          <w:i w:val="false"/>
          <w:color w:val="000000"/>
          <w:sz w:val="24"/>
        </w:rPr>
        <w:t>Payment will be made for medically necessary laboratory services provided by laboratories that are independent of attending and consulting physicians’ offices, hospitals, and critical access hospitals and that are certified to participate in the Medicare program.</w:t>
      </w:r>
    </w:p>
    <w:p>
      <w:pPr>
        <w:spacing w:before="0" w:after="0" w:line="480"/>
        <w:ind w:left="120"/>
        <w:jc w:val="both"/>
      </w:pPr>
      <w:r>
        <w:rPr>
          <w:rFonts w:ascii="Times New Roman" w:hAnsi="Times New Roman"/>
          <w:b/>
          <w:i w:val="false"/>
          <w:color w:val="000000"/>
          <w:sz w:val="24"/>
        </w:rPr>
        <w:t>441—78.21</w:t>
      </w:r>
      <w:r>
        <w:rPr>
          <w:rFonts w:ascii="Times New Roman" w:hAnsi="Times New Roman"/>
          <w:b/>
          <w:i w:val="false"/>
          <w:color w:val="000000"/>
          <w:sz w:val="24"/>
        </w:rPr>
        <w:t xml:space="preserve">(249A) </w:t>
      </w:r>
      <w:r>
        <w:rPr>
          <w:rFonts w:ascii="Times New Roman" w:hAnsi="Times New Roman"/>
          <w:b/>
          <w:i w:val="false"/>
          <w:color w:val="000000"/>
          <w:sz w:val="24"/>
        </w:rPr>
        <w:t xml:space="preserve">Rural health clinics. </w:t>
      </w:r>
      <w:r>
        <w:rPr>
          <w:rFonts w:ascii="Times New Roman" w:hAnsi="Times New Roman"/>
          <w:b w:val="false"/>
          <w:i w:val="false"/>
          <w:color w:val="000000"/>
          <w:sz w:val="24"/>
        </w:rPr>
        <w:t xml:space="preserve">Payment will be made to rural health clinics for the same services payable under the Medicare program. Payment will be made for sterilization in accordance with subrule </w:t>
      </w:r>
      <w:hyperlink r:id="rId150">
        <w:r>
          <w:rPr>
            <w:rStyle w:val="Hyperlink"/>
            <w:rFonts w:ascii="Times New Roman" w:hAnsi="Times New Roman"/>
            <w:b w:val="false"/>
            <w:i w:val="false"/>
            <w:color w:val="000000"/>
            <w:sz w:val="24"/>
          </w:rPr>
          <w:t>78.1(16)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78.21(1)</w:t>
      </w:r>
      <w:r>
        <w:rPr>
          <w:rFonts w:ascii="Times New Roman" w:hAnsi="Times New Roman"/>
          <w:b w:val="false"/>
          <w:i w:val="false"/>
          <w:color w:val="000000"/>
          <w:sz w:val="24"/>
        </w:rPr>
        <w:t> </w:t>
      </w:r>
      <w:r>
        <w:rPr>
          <w:rFonts w:ascii="Times New Roman" w:hAnsi="Times New Roman"/>
          <w:b w:val="false"/>
          <w:i/>
          <w:color w:val="000000"/>
          <w:sz w:val="24"/>
        </w:rPr>
        <w:t xml:space="preserve">Utilization review. </w:t>
      </w:r>
      <w:r>
        <w:rPr>
          <w:rFonts w:ascii="Times New Roman" w:hAnsi="Times New Roman"/>
          <w:b w:val="false"/>
          <w:i w:val="false"/>
          <w:color w:val="000000"/>
          <w:sz w:val="24"/>
        </w:rPr>
        <w:t>Utilization review will be conducted for Medicaid members who access more than 24 outpatient visits in any 12-month period from physicians, ARNPs, federally qualified health centers, other clinics, and emergency rooms.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78.21(2)</w:t>
      </w:r>
      <w:r>
        <w:rPr>
          <w:rFonts w:ascii="Times New Roman" w:hAnsi="Times New Roman"/>
          <w:b w:val="false"/>
          <w:i w:val="false"/>
          <w:color w:val="000000"/>
          <w:sz w:val="24"/>
        </w:rPr>
        <w:t> </w:t>
      </w:r>
      <w:r>
        <w:rPr>
          <w:rFonts w:ascii="Times New Roman" w:hAnsi="Times New Roman"/>
          <w:b w:val="false"/>
          <w:i/>
          <w:color w:val="000000"/>
          <w:sz w:val="24"/>
        </w:rPr>
        <w:t xml:space="preserve">Risk assessment. </w:t>
      </w:r>
      <w:r>
        <w:rPr>
          <w:rFonts w:ascii="Times New Roman" w:hAnsi="Times New Roman"/>
          <w:b w:val="false"/>
          <w:i w:val="false"/>
          <w:color w:val="000000"/>
          <w:sz w:val="24"/>
        </w:rPr>
        <w:t>Risk assessment, using a Medicaid Prenatal Risk Assessment form, shall be completed at the initial visit during a Medicaid member’s pregnancy.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the risk assessment reflects a low-risk pregnancy, the assessment shall be completed again at approximately the twenty-eighth week of pregnancy.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risk assessment reflects a high-risk pregnancy, referral shall be made for enhanced services described in subrule </w:t>
      </w:r>
      <w:hyperlink r:id="rId151">
        <w:r>
          <w:rPr>
            <w:rStyle w:val="Hyperlink"/>
            <w:rFonts w:ascii="Times New Roman" w:hAnsi="Times New Roman"/>
            <w:b w:val="false"/>
            <w:i w:val="false"/>
            <w:color w:val="000000"/>
            <w:sz w:val="24"/>
          </w:rPr>
          <w:t>78.25(3)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78.21(3)</w:t>
      </w:r>
      <w:r>
        <w:rPr>
          <w:rFonts w:ascii="Times New Roman" w:hAnsi="Times New Roman"/>
          <w:b w:val="false"/>
          <w:i w:val="false"/>
          <w:color w:val="000000"/>
          <w:sz w:val="24"/>
        </w:rPr>
        <w:t> </w:t>
      </w:r>
      <w:r>
        <w:rPr>
          <w:rFonts w:ascii="Times New Roman" w:hAnsi="Times New Roman"/>
          <w:b w:val="false"/>
          <w:i/>
          <w:color w:val="000000"/>
          <w:sz w:val="24"/>
        </w:rPr>
        <w:t xml:space="preserve">Vaccines. </w:t>
      </w:r>
      <w:r>
        <w:rPr>
          <w:rFonts w:ascii="Times New Roman" w:hAnsi="Times New Roman"/>
          <w:b w:val="false"/>
          <w:i w:val="false"/>
          <w:color w:val="000000"/>
          <w:sz w:val="24"/>
        </w:rPr>
        <w:t>In order to be paid for the administration of a vaccine covered under the VFC program, a rural health center must enroll in the VFC program. Payment for the vaccine will be approved only if the VFC program stock has been depleted.</w:t>
      </w:r>
    </w:p>
    <w:p>
      <w:pPr>
        <w:spacing w:before="0" w:after="0" w:line="480"/>
        <w:ind w:left="120"/>
        <w:jc w:val="both"/>
      </w:pPr>
      <w:r>
        <w:rPr>
          <w:rFonts w:ascii="Times New Roman" w:hAnsi="Times New Roman"/>
          <w:b/>
          <w:i w:val="false"/>
          <w:color w:val="000000"/>
          <w:sz w:val="24"/>
        </w:rPr>
        <w:t>441—78.22</w:t>
      </w:r>
      <w:r>
        <w:rPr>
          <w:rFonts w:ascii="Times New Roman" w:hAnsi="Times New Roman"/>
          <w:b/>
          <w:i w:val="false"/>
          <w:color w:val="000000"/>
          <w:sz w:val="24"/>
        </w:rPr>
        <w:t xml:space="preserve">(249A) </w:t>
      </w:r>
      <w:r>
        <w:rPr>
          <w:rFonts w:ascii="Times New Roman" w:hAnsi="Times New Roman"/>
          <w:b/>
          <w:i w:val="false"/>
          <w:color w:val="000000"/>
          <w:sz w:val="24"/>
        </w:rPr>
        <w:t xml:space="preserve">Family planning clinics. </w:t>
      </w:r>
      <w:r>
        <w:rPr>
          <w:rFonts w:ascii="Times New Roman" w:hAnsi="Times New Roman"/>
          <w:b w:val="false"/>
          <w:i w:val="false"/>
          <w:color w:val="000000"/>
          <w:sz w:val="24"/>
        </w:rPr>
        <w:t>Payments will be made on a fee schedule basis for services provided by family planning clinics.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78.22(1)</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will be made for sterilization in accordance with subrule </w:t>
      </w:r>
      <w:hyperlink r:id="rId152">
        <w:r>
          <w:rPr>
            <w:rStyle w:val="Hyperlink"/>
            <w:rFonts w:ascii="Times New Roman" w:hAnsi="Times New Roman"/>
            <w:b w:val="false"/>
            <w:i w:val="false"/>
            <w:color w:val="000000"/>
            <w:sz w:val="24"/>
          </w:rPr>
          <w:t>78.1(16)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78.22(2)</w:t>
      </w:r>
      <w:r>
        <w:rPr>
          <w:rFonts w:ascii="Times New Roman" w:hAnsi="Times New Roman"/>
          <w:b w:val="false"/>
          <w:i w:val="false"/>
          <w:color w:val="000000"/>
          <w:sz w:val="24"/>
        </w:rPr>
        <w:t> </w:t>
      </w:r>
      <w:r>
        <w:rPr>
          <w:rFonts w:ascii="Times New Roman" w:hAnsi="Times New Roman"/>
          <w:b w:val="false"/>
          <w:i w:val="false"/>
          <w:color w:val="000000"/>
          <w:sz w:val="24"/>
        </w:rPr>
        <w:t>In order to be paid for the administration of a vaccine covered under the VFC program, a family planning clinic must enroll in the VFC program. Payment for the vaccine will be approved only if the VFC program stock has been depleted.</w:t>
      </w:r>
    </w:p>
    <w:p>
      <w:pPr>
        <w:spacing w:before="0" w:after="0" w:line="480"/>
        <w:ind w:left="120"/>
        <w:jc w:val="both"/>
      </w:pPr>
      <w:r>
        <w:rPr>
          <w:rFonts w:ascii="Times New Roman" w:hAnsi="Times New Roman"/>
          <w:b/>
          <w:i w:val="false"/>
          <w:color w:val="000000"/>
          <w:sz w:val="24"/>
        </w:rPr>
        <w:t>441—78.23</w:t>
      </w:r>
      <w:r>
        <w:rPr>
          <w:rFonts w:ascii="Times New Roman" w:hAnsi="Times New Roman"/>
          <w:b/>
          <w:i w:val="false"/>
          <w:color w:val="000000"/>
          <w:sz w:val="24"/>
        </w:rPr>
        <w:t xml:space="preserve">(249A) </w:t>
      </w:r>
      <w:r>
        <w:rPr>
          <w:rFonts w:ascii="Times New Roman" w:hAnsi="Times New Roman"/>
          <w:b/>
          <w:i w:val="false"/>
          <w:color w:val="000000"/>
          <w:sz w:val="24"/>
        </w:rPr>
        <w:t xml:space="preserve">Other clinic services. </w:t>
      </w:r>
      <w:r>
        <w:rPr>
          <w:rFonts w:ascii="Times New Roman" w:hAnsi="Times New Roman"/>
          <w:b w:val="false"/>
          <w:i w:val="false"/>
          <w:color w:val="000000"/>
          <w:sz w:val="24"/>
        </w:rPr>
        <w:t>Payment will be made on a fee schedule basis to facilities not part of a hospital, funded publicly or by private contributions, that provide medically necessary treatment by or under the direct supervision of a physician or dentist to outpatients.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78.23(1)</w:t>
      </w:r>
      <w:r>
        <w:rPr>
          <w:rFonts w:ascii="Times New Roman" w:hAnsi="Times New Roman"/>
          <w:b w:val="false"/>
          <w:i w:val="false"/>
          <w:color w:val="000000"/>
          <w:sz w:val="24"/>
        </w:rPr>
        <w:t> </w:t>
      </w:r>
      <w:r>
        <w:rPr>
          <w:rFonts w:ascii="Times New Roman" w:hAnsi="Times New Roman"/>
          <w:b w:val="false"/>
          <w:i/>
          <w:color w:val="000000"/>
          <w:sz w:val="24"/>
        </w:rPr>
        <w:t xml:space="preserve">Sterilization. </w:t>
      </w:r>
      <w:r>
        <w:rPr>
          <w:rFonts w:ascii="Times New Roman" w:hAnsi="Times New Roman"/>
          <w:b w:val="false"/>
          <w:i w:val="false"/>
          <w:color w:val="000000"/>
          <w:sz w:val="24"/>
        </w:rPr>
        <w:t xml:space="preserve">Payment will be made for sterilization in accordance with subrule </w:t>
      </w:r>
      <w:hyperlink r:id="rId153">
        <w:r>
          <w:rPr>
            <w:rStyle w:val="Hyperlink"/>
            <w:rFonts w:ascii="Times New Roman" w:hAnsi="Times New Roman"/>
            <w:b w:val="false"/>
            <w:i w:val="false"/>
            <w:color w:val="000000"/>
            <w:sz w:val="24"/>
          </w:rPr>
          <w:t>78.1(16)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78.23(2)</w:t>
      </w:r>
      <w:r>
        <w:rPr>
          <w:rFonts w:ascii="Times New Roman" w:hAnsi="Times New Roman"/>
          <w:b w:val="false"/>
          <w:i w:val="false"/>
          <w:color w:val="000000"/>
          <w:sz w:val="24"/>
        </w:rPr>
        <w:t> </w:t>
      </w:r>
      <w:r>
        <w:rPr>
          <w:rFonts w:ascii="Times New Roman" w:hAnsi="Times New Roman"/>
          <w:b w:val="false"/>
          <w:i/>
          <w:color w:val="000000"/>
          <w:sz w:val="24"/>
        </w:rPr>
        <w:t xml:space="preserve">Utilization review. </w:t>
      </w:r>
      <w:r>
        <w:rPr>
          <w:rFonts w:ascii="Times New Roman" w:hAnsi="Times New Roman"/>
          <w:b w:val="false"/>
          <w:i w:val="false"/>
          <w:color w:val="000000"/>
          <w:sz w:val="24"/>
        </w:rPr>
        <w:t>Utilization review will be conducted for Medicaid members who access more than 24 outpatient visits in any 12-month period from physicians, ARNPs, federally qualified health centers, other clinics, and emergency rooms.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78.23(3)</w:t>
      </w:r>
      <w:r>
        <w:rPr>
          <w:rFonts w:ascii="Times New Roman" w:hAnsi="Times New Roman"/>
          <w:b w:val="false"/>
          <w:i w:val="false"/>
          <w:color w:val="000000"/>
          <w:sz w:val="24"/>
        </w:rPr>
        <w:t> </w:t>
      </w:r>
      <w:r>
        <w:rPr>
          <w:rFonts w:ascii="Times New Roman" w:hAnsi="Times New Roman"/>
          <w:b w:val="false"/>
          <w:i/>
          <w:color w:val="000000"/>
          <w:sz w:val="24"/>
        </w:rPr>
        <w:t xml:space="preserve">Risk assessment. </w:t>
      </w:r>
      <w:r>
        <w:rPr>
          <w:rFonts w:ascii="Times New Roman" w:hAnsi="Times New Roman"/>
          <w:b w:val="false"/>
          <w:i w:val="false"/>
          <w:color w:val="000000"/>
          <w:sz w:val="24"/>
        </w:rPr>
        <w:t>Risk assessment, using a Medicaid Prenatal Risk Assessment form, shall be completed at the initial visit during a Medicaid member’s pregnancy.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the risk assessment reflects a low-risk pregnancy, the assessment shall be completed again at approximately the twenty-eighth week of pregnancy.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risk assessment reflects a high-risk pregnancy, referral shall be made for enhanced services described in subrule </w:t>
      </w:r>
      <w:hyperlink r:id="rId154">
        <w:r>
          <w:rPr>
            <w:rStyle w:val="Hyperlink"/>
            <w:rFonts w:ascii="Times New Roman" w:hAnsi="Times New Roman"/>
            <w:b w:val="false"/>
            <w:i w:val="false"/>
            <w:color w:val="000000"/>
            <w:sz w:val="24"/>
          </w:rPr>
          <w:t>78.25(3)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78.23(4)</w:t>
      </w:r>
      <w:r>
        <w:rPr>
          <w:rFonts w:ascii="Times New Roman" w:hAnsi="Times New Roman"/>
          <w:b w:val="false"/>
          <w:i w:val="false"/>
          <w:color w:val="000000"/>
          <w:sz w:val="24"/>
        </w:rPr>
        <w:t> </w:t>
      </w:r>
      <w:r>
        <w:rPr>
          <w:rFonts w:ascii="Times New Roman" w:hAnsi="Times New Roman"/>
          <w:b w:val="false"/>
          <w:i/>
          <w:color w:val="000000"/>
          <w:sz w:val="24"/>
        </w:rPr>
        <w:t xml:space="preserve">Vaccines. </w:t>
      </w:r>
      <w:r>
        <w:rPr>
          <w:rFonts w:ascii="Times New Roman" w:hAnsi="Times New Roman"/>
          <w:b w:val="false"/>
          <w:i w:val="false"/>
          <w:color w:val="000000"/>
          <w:sz w:val="24"/>
        </w:rPr>
        <w:t>In order to be paid for the administration of a vaccine covered under the VFC program, a clinic must enroll in the VFC program. Payment for the vaccine will be approved only if the VFC program stock has been depleted.</w:t>
      </w:r>
    </w:p>
    <w:p>
      <w:pPr>
        <w:spacing w:before="0" w:after="0" w:line="480"/>
        <w:ind w:left="120"/>
        <w:jc w:val="both"/>
      </w:pPr>
      <w:r>
        <w:rPr>
          <w:rFonts w:ascii="Times New Roman" w:hAnsi="Times New Roman"/>
          <w:b/>
          <w:i w:val="false"/>
          <w:color w:val="000000"/>
          <w:sz w:val="24"/>
        </w:rPr>
        <w:t>441—78.24</w:t>
      </w:r>
      <w:r>
        <w:rPr>
          <w:rFonts w:ascii="Times New Roman" w:hAnsi="Times New Roman"/>
          <w:b/>
          <w:i w:val="false"/>
          <w:color w:val="000000"/>
          <w:sz w:val="24"/>
        </w:rPr>
        <w:t xml:space="preserve">(249A) </w:t>
      </w:r>
      <w:r>
        <w:rPr>
          <w:rFonts w:ascii="Times New Roman" w:hAnsi="Times New Roman"/>
          <w:b/>
          <w:i w:val="false"/>
          <w:color w:val="000000"/>
          <w:sz w:val="24"/>
        </w:rPr>
        <w:t xml:space="preserve">Psychologists. </w:t>
      </w:r>
      <w:r>
        <w:rPr>
          <w:rFonts w:ascii="Times New Roman" w:hAnsi="Times New Roman"/>
          <w:b w:val="false"/>
          <w:i w:val="false"/>
          <w:color w:val="000000"/>
          <w:sz w:val="24"/>
        </w:rPr>
        <w:t>Payment will be approved for services authorized by state law when they are provided by the psychologist in the psychologist’s office, a hospital, nursing facility, or residential care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78.24(1)</w:t>
      </w:r>
      <w:r>
        <w:rPr>
          <w:rFonts w:ascii="Times New Roman" w:hAnsi="Times New Roman"/>
          <w:b w:val="false"/>
          <w:i w:val="false"/>
          <w:color w:val="000000"/>
          <w:sz w:val="24"/>
        </w:rPr>
        <w:t> </w:t>
      </w:r>
      <w:r>
        <w:rPr>
          <w:rFonts w:ascii="Times New Roman" w:hAnsi="Times New Roman"/>
          <w:b w:val="false"/>
          <w:i w:val="false"/>
          <w:color w:val="000000"/>
          <w:sz w:val="24"/>
        </w:rPr>
        <w:t>Payment for covered services provided by the psychologist will be made on a fee for service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Payment will be made only for time spent in face-to-face consultation with the client.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Time spent with clients shall be rounded to the quarter hour.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78.24(2)</w:t>
      </w:r>
      <w:r>
        <w:rPr>
          <w:rFonts w:ascii="Times New Roman" w:hAnsi="Times New Roman"/>
          <w:b w:val="false"/>
          <w:i w:val="false"/>
          <w:color w:val="000000"/>
          <w:sz w:val="24"/>
        </w:rPr>
        <w:t> </w:t>
      </w:r>
      <w:r>
        <w:rPr>
          <w:rFonts w:ascii="Times New Roman" w:hAnsi="Times New Roman"/>
          <w:b w:val="false"/>
          <w:i w:val="false"/>
          <w:color w:val="000000"/>
          <w:sz w:val="24"/>
        </w:rPr>
        <w:t>Payment will be approved for the following psychological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Individual outpatient psychotherapy or other psychological procedures not to exceed one hour per week or 40 hours in any 12-month period,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Couple, marital, family, or group outpatient therapy not to exceed one and one-half hours per week or 60 hours in any 12-month period,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combination of individual and group therapy not to exceed the cost of 40 individual therapy hours in any 12-month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Psychological examinations and testing for purposes of evaluation, placement, psychotherapy, or assessment of therapeutic progress, not to exceed eight hours in any 12-month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Mileage at the same rate as in subrule </w:t>
      </w:r>
      <w:hyperlink r:id="rId155">
        <w:r>
          <w:rPr>
            <w:rStyle w:val="Hyperlink"/>
            <w:rFonts w:ascii="Times New Roman" w:hAnsi="Times New Roman"/>
            <w:b w:val="false"/>
            <w:i w:val="false"/>
            <w:color w:val="000000"/>
            <w:sz w:val="24"/>
          </w:rPr>
          <w:t>78.1(8)</w:t>
        </w:r>
      </w:hyperlink>
      <w:r>
        <w:rPr>
          <w:rFonts w:ascii="Times New Roman" w:hAnsi="Times New Roman"/>
          <w:b w:val="false"/>
          <w:i w:val="false"/>
          <w:color w:val="000000"/>
          <w:sz w:val="24"/>
        </w:rPr>
        <w:t xml:space="preserve"> when the following conditions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It is necessary for the psychologist to travel outside of the home community,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There is no qualified mental health professional more immediately available in the community,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member has a medical condition which prohibits travel.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Covered procedures necessary to maintain continuity of psychological treatment during periods of hospitalization or convalescence for physical illness.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Procedures provided within a licensed hospital, residential treatment facility, day hospital, or nursing home as part of an approved treatment plan and a psychologist is not employed by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78.24(3)</w:t>
      </w:r>
      <w:r>
        <w:rPr>
          <w:rFonts w:ascii="Times New Roman" w:hAnsi="Times New Roman"/>
          <w:b w:val="false"/>
          <w:i w:val="false"/>
          <w:color w:val="000000"/>
          <w:sz w:val="24"/>
        </w:rPr>
        <w:t> </w:t>
      </w:r>
      <w:r>
        <w:rPr>
          <w:rFonts w:ascii="Times New Roman" w:hAnsi="Times New Roman"/>
          <w:b w:val="false"/>
          <w:i w:val="false"/>
          <w:color w:val="000000"/>
          <w:sz w:val="24"/>
        </w:rPr>
        <w:t>Payment will not be approved for the following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Psychological examinations performed without relationship to evaluations or psychotherapy for a specific condition, symptom, or complaint.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Psychological examinations covered under Part B of Medicare, except for the Part B Medicare deductible and coinsurance.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Psychological examinations employing unusual or experimental instrumentation.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Individual and group psychotherapy without specification of condition, symptom, or complaint.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Sensitivity training, marriage enrichment, assertiveness training, growth groups or marathons, or psychotherapy for nonspecific conditions of distress such as job dissatisfaction or general unhappiness.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78.24(4)</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78.24(5)</w:t>
      </w:r>
      <w:r>
        <w:rPr>
          <w:rFonts w:ascii="Times New Roman" w:hAnsi="Times New Roman"/>
          <w:b w:val="false"/>
          <w:i w:val="false"/>
          <w:color w:val="000000"/>
          <w:sz w:val="24"/>
        </w:rPr>
        <w:t> </w:t>
      </w:r>
      <w:r>
        <w:rPr>
          <w:rFonts w:ascii="Times New Roman" w:hAnsi="Times New Roman"/>
          <w:b w:val="false"/>
          <w:i w:val="false"/>
          <w:color w:val="000000"/>
          <w:sz w:val="24"/>
        </w:rPr>
        <w:t>The following services shall require review by a consultant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Protracted therapy beyond 16 visits. These cases shall be reviewed following the sixteenth therapy session and periodically thereafter.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Any service that does not appear necessary or appears to fall outside the scope of what is professionally appropriate or necessary for a particular condition.</w:t>
      </w:r>
    </w:p>
    <w:p>
      <w:pPr>
        <w:spacing w:before="0" w:after="0" w:line="480"/>
        <w:ind w:left="120"/>
        <w:jc w:val="both"/>
      </w:pPr>
      <w:r>
        <w:rPr>
          <w:rFonts w:ascii="Times New Roman" w:hAnsi="Times New Roman"/>
          <w:b/>
          <w:i w:val="false"/>
          <w:color w:val="000000"/>
          <w:sz w:val="24"/>
        </w:rPr>
        <w:t>441—78.25</w:t>
      </w:r>
      <w:r>
        <w:rPr>
          <w:rFonts w:ascii="Times New Roman" w:hAnsi="Times New Roman"/>
          <w:b/>
          <w:i w:val="false"/>
          <w:color w:val="000000"/>
          <w:sz w:val="24"/>
        </w:rPr>
        <w:t xml:space="preserve">(249A) </w:t>
      </w:r>
      <w:r>
        <w:rPr>
          <w:rFonts w:ascii="Times New Roman" w:hAnsi="Times New Roman"/>
          <w:b/>
          <w:i w:val="false"/>
          <w:color w:val="000000"/>
          <w:sz w:val="24"/>
        </w:rPr>
        <w:t xml:space="preserve">Maternal health centers. </w:t>
      </w:r>
      <w:r>
        <w:rPr>
          <w:rFonts w:ascii="Times New Roman" w:hAnsi="Times New Roman"/>
          <w:b w:val="false"/>
          <w:i w:val="false"/>
          <w:color w:val="000000"/>
          <w:sz w:val="24"/>
        </w:rPr>
        <w:t xml:space="preserve">Payment will be made for prenatal and postpartum medical care, health education, and transportation to receive prenatal and postpartum services. Payment will be made for enhanced perinatal services for persons determined high risk. These services include additional health education services, nutrition counseling, social services, and one postpartum home visit. Maternal health centers shall provide trimester and postpartum reports to the referring physician. Risk assessment using a Medicaid Prenatal Risk Assessment form shall be completed at the initial visit during a Medicaid member’s pregnancy. If the risk assessment reflects a low-risk pregnancy, the assessment shall be completed again at approximately the twenty-eighth week of pregnancy. If the risk assessment reflects a high-risk pregnancy, referral shall be made for enhanced services described in subrule </w:t>
      </w:r>
      <w:hyperlink r:id="rId156">
        <w:r>
          <w:rPr>
            <w:rStyle w:val="Hyperlink"/>
            <w:rFonts w:ascii="Times New Roman" w:hAnsi="Times New Roman"/>
            <w:b w:val="false"/>
            <w:i w:val="false"/>
            <w:color w:val="000000"/>
            <w:sz w:val="24"/>
          </w:rPr>
          <w:t>78.25(3)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78.25(1)</w:t>
      </w:r>
      <w:r>
        <w:rPr>
          <w:rFonts w:ascii="Times New Roman" w:hAnsi="Times New Roman"/>
          <w:b w:val="false"/>
          <w:i w:val="false"/>
          <w:color w:val="000000"/>
          <w:sz w:val="24"/>
        </w:rPr>
        <w:t> </w:t>
      </w:r>
      <w:r>
        <w:rPr>
          <w:rFonts w:ascii="Times New Roman" w:hAnsi="Times New Roman"/>
          <w:b w:val="false"/>
          <w:i/>
          <w:color w:val="000000"/>
          <w:sz w:val="24"/>
        </w:rPr>
        <w:t xml:space="preserve">Provider qualifications.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Prenatal and postpartum medical services shall be provided by a physician, a PA, or a nurse practitioner employed by or on contract with the center. Medical services performed by maternal health centers shall be performed under the supervision of a physician. Nurse practitioners and PAs performing under the supervision of a physician must do so within the scope of practice of that profession, as defined by Iowa Code chapters </w:t>
      </w:r>
      <w:hyperlink r:id="rId157">
        <w:r>
          <w:rPr>
            <w:rStyle w:val="Hyperlink"/>
            <w:rFonts w:ascii="Times New Roman" w:hAnsi="Times New Roman"/>
            <w:b w:val="false"/>
            <w:i w:val="false"/>
            <w:color w:val="000000"/>
            <w:sz w:val="24"/>
          </w:rPr>
          <w:t>152</w:t>
        </w:r>
      </w:hyperlink>
      <w:r>
        <w:rPr>
          <w:rFonts w:ascii="Times New Roman" w:hAnsi="Times New Roman"/>
          <w:b w:val="false"/>
          <w:i w:val="false"/>
          <w:color w:val="000000"/>
          <w:sz w:val="24"/>
        </w:rPr>
        <w:t xml:space="preserve"> and </w:t>
      </w:r>
      <w:hyperlink r:id="rId158">
        <w:r>
          <w:rPr>
            <w:rStyle w:val="Hyperlink"/>
            <w:rFonts w:ascii="Times New Roman" w:hAnsi="Times New Roman"/>
            <w:b w:val="false"/>
            <w:i w:val="false"/>
            <w:color w:val="000000"/>
            <w:sz w:val="24"/>
          </w:rPr>
          <w:t>148C</w:t>
        </w:r>
      </w:hyperlink>
      <w:r>
        <w:rPr>
          <w:rFonts w:ascii="Times New Roman" w:hAnsi="Times New Roman"/>
          <w:b w:val="false"/>
          <w:i w:val="false"/>
          <w:color w:val="000000"/>
          <w:sz w:val="24"/>
        </w:rPr>
        <w:t>, respectively.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Education services and postpartum home visits shall be provided by a registered nurse.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Nutrition services shall be provided by a licensed dietitian.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Psychosocial services shall be provided by a person with at least a bachelor’s degree in social work, counseling, sociology, psychology, family and community services, health or human development, health education, or individual and family studies.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78.25(2)</w:t>
      </w:r>
      <w:r>
        <w:rPr>
          <w:rFonts w:ascii="Times New Roman" w:hAnsi="Times New Roman"/>
          <w:b w:val="false"/>
          <w:i w:val="false"/>
          <w:color w:val="000000"/>
          <w:sz w:val="24"/>
        </w:rPr>
        <w:t> </w:t>
      </w:r>
      <w:r>
        <w:rPr>
          <w:rFonts w:ascii="Times New Roman" w:hAnsi="Times New Roman"/>
          <w:b w:val="false"/>
          <w:i/>
          <w:color w:val="000000"/>
          <w:sz w:val="24"/>
        </w:rPr>
        <w:t xml:space="preserve">Services covered for all pregnant women. </w:t>
      </w:r>
      <w:r>
        <w:rPr>
          <w:rFonts w:ascii="Times New Roman" w:hAnsi="Times New Roman"/>
          <w:b w:val="false"/>
          <w:i w:val="false"/>
          <w:color w:val="000000"/>
          <w:sz w:val="24"/>
        </w:rPr>
        <w:t>Services provided may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Prenatal and postpartum medical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Health education, which will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Importance of continued prenatal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Normal changes of pregnancy including both maternal changes and fetal changes.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Self-care during pregnancy.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Comfort measures during pregnancy.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Danger signs during pregnancy.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Labor and delivery including the normal process of labor, signs of labor, coping skills, danger signs, and management of labor.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Preparation for baby including feeding, equipment, and clothing.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Education on the use of over-the-counter drugs.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Education about HIV protection.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Home visit.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Transportation to receive prenatal and postpartum services that is not payable under rule </w:t>
      </w:r>
      <w:hyperlink r:id="rId159">
        <w:r>
          <w:rPr>
            <w:rStyle w:val="Hyperlink"/>
            <w:rFonts w:ascii="Times New Roman" w:hAnsi="Times New Roman"/>
            <w:b w:val="false"/>
            <w:i w:val="false"/>
            <w:color w:val="000000"/>
            <w:sz w:val="24"/>
          </w:rPr>
          <w:t>441—78.11</w:t>
        </w:r>
      </w:hyperlink>
      <w:r>
        <w:rPr>
          <w:rFonts w:ascii="Times New Roman" w:hAnsi="Times New Roman"/>
          <w:b w:val="false"/>
          <w:i w:val="false"/>
          <w:color w:val="000000"/>
          <w:sz w:val="24"/>
        </w:rPr>
        <w:t xml:space="preserve">(249A) or </w:t>
      </w:r>
      <w:hyperlink r:id="rId160">
        <w:r>
          <w:rPr>
            <w:rStyle w:val="Hyperlink"/>
            <w:rFonts w:ascii="Times New Roman" w:hAnsi="Times New Roman"/>
            <w:b w:val="false"/>
            <w:i w:val="false"/>
            <w:color w:val="000000"/>
            <w:sz w:val="24"/>
          </w:rPr>
          <w:t>441—78.13</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Dental hygiene services within the scope of practice as defined by the dental board in </w:t>
      </w:r>
      <w:hyperlink r:id="rId161">
        <w:r>
          <w:rPr>
            <w:rStyle w:val="Hyperlink"/>
            <w:rFonts w:ascii="Times New Roman" w:hAnsi="Times New Roman"/>
            <w:b w:val="false"/>
            <w:i w:val="false"/>
            <w:color w:val="000000"/>
            <w:sz w:val="24"/>
          </w:rPr>
          <w:t>481—Chapter 576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78.25(3)</w:t>
      </w:r>
      <w:r>
        <w:rPr>
          <w:rFonts w:ascii="Times New Roman" w:hAnsi="Times New Roman"/>
          <w:b w:val="false"/>
          <w:i w:val="false"/>
          <w:color w:val="000000"/>
          <w:sz w:val="24"/>
        </w:rPr>
        <w:t> </w:t>
      </w:r>
      <w:r>
        <w:rPr>
          <w:rFonts w:ascii="Times New Roman" w:hAnsi="Times New Roman"/>
          <w:b w:val="false"/>
          <w:i/>
          <w:color w:val="000000"/>
          <w:sz w:val="24"/>
        </w:rPr>
        <w:t xml:space="preserve">Enhanced services covered for women with high-risk pregnancies. </w:t>
      </w:r>
      <w:r>
        <w:rPr>
          <w:rFonts w:ascii="Times New Roman" w:hAnsi="Times New Roman"/>
          <w:b w:val="false"/>
          <w:i w:val="false"/>
          <w:color w:val="000000"/>
          <w:sz w:val="24"/>
        </w:rPr>
        <w:t>Enhanced perinatal services may be provided to a patient who has been determined to have a high-risk pregnancy as documented on the Medicaid Prenatal Risk Assessment form. An appropriately trained physician or ARNP must be involved in staffing the patients receiving enhanced services.</w:t>
      </w:r>
    </w:p>
    <w:p>
      <w:pPr>
        <w:spacing w:before="0" w:after="0" w:line="480"/>
        <w:ind w:left="120"/>
        <w:jc w:val="both"/>
      </w:pPr>
      <w:r>
        <w:rPr>
          <w:rFonts w:ascii="Times New Roman" w:hAnsi="Times New Roman"/>
          <w:b w:val="false"/>
          <w:i w:val="false"/>
          <w:color w:val="000000"/>
          <w:sz w:val="24"/>
        </w:rPr>
        <w:t>Enhanced services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Education, which shall include as appropriate education about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High-risk medical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High-risk sexual behavior.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Smoking cessation.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Alcohol usage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Drug usage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Environmental and occupational hazards.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Nutrition assessment and counseling, which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Initial assessment of nutritional risk based on height, current and prepregnancy weight status, laboratory data, clinical data, and self-reported dietary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Ongoing nutritional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Development of an individualized nutritional care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Referral to food assistance programs if indicated.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Nutritional intervention.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Psychosocial assessment and counseling, which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psychosocial assessment including: needs assessment, profile of client demographic factors, mental and physical health history and concerns, adjustment to pregnancy and future parenting, and environmental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profile of the client’s family composition, patterns of functioning and support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assessment-based plan of care, risk tracking, counseling and anticipatory guidance as appropriate, and referral and follow-up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postpartum home visit within two weeks of the child’s discharge from the hospital, which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Assessment of mother’s health status.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Physical and emotional changes postpartum.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Family planning.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Parenting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Assessment of infant health.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Infant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Grief support for unhealthy outcome.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Parenting of a preterm infant.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Identification of and referral to community resources as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78.25(4)</w:t>
      </w:r>
      <w:r>
        <w:rPr>
          <w:rFonts w:ascii="Times New Roman" w:hAnsi="Times New Roman"/>
          <w:b w:val="false"/>
          <w:i w:val="false"/>
          <w:color w:val="000000"/>
          <w:sz w:val="24"/>
        </w:rPr>
        <w:t> </w:t>
      </w:r>
      <w:r>
        <w:rPr>
          <w:rFonts w:ascii="Times New Roman" w:hAnsi="Times New Roman"/>
          <w:b w:val="false"/>
          <w:i/>
          <w:color w:val="000000"/>
          <w:sz w:val="24"/>
        </w:rPr>
        <w:t xml:space="preserve">Vaccines. </w:t>
      </w:r>
      <w:r>
        <w:rPr>
          <w:rFonts w:ascii="Times New Roman" w:hAnsi="Times New Roman"/>
          <w:b w:val="false"/>
          <w:i w:val="false"/>
          <w:color w:val="000000"/>
          <w:sz w:val="24"/>
        </w:rPr>
        <w:t>In order to be paid for the administration of a vaccine covered under the VFC program, a maternal health center must enroll in the VFC program. Payment for the vaccine will be approved only if the VFC program stock has been depleted.</w:t>
      </w:r>
    </w:p>
    <w:p>
      <w:pPr>
        <w:spacing w:before="0" w:after="0" w:line="480"/>
        <w:ind w:left="120"/>
        <w:jc w:val="both"/>
      </w:pPr>
      <w:r>
        <w:rPr>
          <w:rFonts w:ascii="Times New Roman" w:hAnsi="Times New Roman"/>
          <w:b/>
          <w:i w:val="false"/>
          <w:color w:val="000000"/>
          <w:sz w:val="24"/>
        </w:rPr>
        <w:t>441—78.26</w:t>
      </w:r>
      <w:r>
        <w:rPr>
          <w:rFonts w:ascii="Times New Roman" w:hAnsi="Times New Roman"/>
          <w:b/>
          <w:i w:val="false"/>
          <w:color w:val="000000"/>
          <w:sz w:val="24"/>
        </w:rPr>
        <w:t xml:space="preserve">(249A) </w:t>
      </w:r>
      <w:r>
        <w:rPr>
          <w:rFonts w:ascii="Times New Roman" w:hAnsi="Times New Roman"/>
          <w:b/>
          <w:i w:val="false"/>
          <w:color w:val="000000"/>
          <w:sz w:val="24"/>
        </w:rPr>
        <w:t xml:space="preserve">Ambulatory surgical center services. </w:t>
      </w:r>
      <w:r>
        <w:rPr>
          <w:rFonts w:ascii="Times New Roman" w:hAnsi="Times New Roman"/>
          <w:b w:val="false"/>
          <w:i w:val="false"/>
          <w:color w:val="000000"/>
          <w:sz w:val="24"/>
        </w:rPr>
        <w:t>Ambulatory surgical center services are those services furnished by an ambulatory surgical center in connection with a covered surgical procedure or a covered dental procedure. Covered procedures are listed in the fee schedule published on the department’s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78.26(1)</w:t>
      </w:r>
      <w:r>
        <w:rPr>
          <w:rFonts w:ascii="Times New Roman" w:hAnsi="Times New Roman"/>
          <w:b w:val="false"/>
          <w:i w:val="false"/>
          <w:color w:val="000000"/>
          <w:sz w:val="24"/>
        </w:rPr>
        <w:t> </w:t>
      </w:r>
      <w:r>
        <w:rPr>
          <w:rFonts w:ascii="Times New Roman" w:hAnsi="Times New Roman"/>
          <w:b w:val="false"/>
          <w:i w:val="false"/>
          <w:color w:val="000000"/>
          <w:sz w:val="24"/>
        </w:rPr>
        <w:t xml:space="preserve">Covered surgical procedures will be those medically necessary procedures that are eligible for payment as physicians’ services, under the circumstances specified in rule </w:t>
      </w:r>
      <w:hyperlink r:id="rId162">
        <w:r>
          <w:rPr>
            <w:rStyle w:val="Hyperlink"/>
            <w:rFonts w:ascii="Times New Roman" w:hAnsi="Times New Roman"/>
            <w:b w:val="false"/>
            <w:i w:val="false"/>
            <w:color w:val="000000"/>
            <w:sz w:val="24"/>
          </w:rPr>
          <w:t>441—78.1</w:t>
        </w:r>
      </w:hyperlink>
      <w:r>
        <w:rPr>
          <w:rFonts w:ascii="Times New Roman" w:hAnsi="Times New Roman"/>
          <w:b w:val="false"/>
          <w:i w:val="false"/>
          <w:color w:val="000000"/>
          <w:sz w:val="24"/>
        </w:rPr>
        <w:t>(249A) and performed on a Medicaid member, that can safely be performed in an outpatient setting as determined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78.26(2)</w:t>
      </w:r>
      <w:r>
        <w:rPr>
          <w:rFonts w:ascii="Times New Roman" w:hAnsi="Times New Roman"/>
          <w:b w:val="false"/>
          <w:i w:val="false"/>
          <w:color w:val="000000"/>
          <w:sz w:val="24"/>
        </w:rPr>
        <w:t> </w:t>
      </w:r>
      <w:r>
        <w:rPr>
          <w:rFonts w:ascii="Times New Roman" w:hAnsi="Times New Roman"/>
          <w:b w:val="false"/>
          <w:i w:val="false"/>
          <w:color w:val="000000"/>
          <w:sz w:val="24"/>
        </w:rPr>
        <w:t xml:space="preserve">Covered dental procedures are those medically necessary procedures that are eligible for payment as dentists’ services, under the circumstances specified in rule </w:t>
      </w:r>
      <w:hyperlink r:id="rId163">
        <w:r>
          <w:rPr>
            <w:rStyle w:val="Hyperlink"/>
            <w:rFonts w:ascii="Times New Roman" w:hAnsi="Times New Roman"/>
            <w:b w:val="false"/>
            <w:i w:val="false"/>
            <w:color w:val="000000"/>
            <w:sz w:val="24"/>
          </w:rPr>
          <w:t>441—78.4</w:t>
        </w:r>
      </w:hyperlink>
      <w:r>
        <w:rPr>
          <w:rFonts w:ascii="Times New Roman" w:hAnsi="Times New Roman"/>
          <w:b w:val="false"/>
          <w:i w:val="false"/>
          <w:color w:val="000000"/>
          <w:sz w:val="24"/>
        </w:rPr>
        <w:t>(249A) and performed on a Medicaid member, that can safely be performed in an outpatient setting for Medicaid members whose mental, physical, or emotional condition necessitates deep sedation or general anesthesia.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78.26(3)</w:t>
      </w:r>
      <w:r>
        <w:rPr>
          <w:rFonts w:ascii="Times New Roman" w:hAnsi="Times New Roman"/>
          <w:b w:val="false"/>
          <w:i w:val="false"/>
          <w:color w:val="000000"/>
          <w:sz w:val="24"/>
        </w:rPr>
        <w:t> </w:t>
      </w:r>
      <w:r>
        <w:rPr>
          <w:rFonts w:ascii="Times New Roman" w:hAnsi="Times New Roman"/>
          <w:b w:val="false"/>
          <w:i w:val="false"/>
          <w:color w:val="000000"/>
          <w:sz w:val="24"/>
        </w:rPr>
        <w:t>The covered services provided by the ambulatory surgical center in connection with a Medicaid-covered surgical or dental procedure will be those nonsurgical and nondental services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Are medically necessary in connection with a Medicaid-covered surgical or dental procedure;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Are eligible for payment as physicians’ services under the circumstances specified in rule </w:t>
      </w:r>
      <w:hyperlink r:id="rId164">
        <w:r>
          <w:rPr>
            <w:rStyle w:val="Hyperlink"/>
            <w:rFonts w:ascii="Times New Roman" w:hAnsi="Times New Roman"/>
            <w:b w:val="false"/>
            <w:i w:val="false"/>
            <w:color w:val="000000"/>
            <w:sz w:val="24"/>
          </w:rPr>
          <w:t>441—78.1</w:t>
        </w:r>
      </w:hyperlink>
      <w:r>
        <w:rPr>
          <w:rFonts w:ascii="Times New Roman" w:hAnsi="Times New Roman"/>
          <w:b w:val="false"/>
          <w:i w:val="false"/>
          <w:color w:val="000000"/>
          <w:sz w:val="24"/>
        </w:rPr>
        <w:t xml:space="preserve">(249A) or as dentists’ services under the circumstances specified in rule </w:t>
      </w:r>
      <w:hyperlink r:id="rId165">
        <w:r>
          <w:rPr>
            <w:rStyle w:val="Hyperlink"/>
            <w:rFonts w:ascii="Times New Roman" w:hAnsi="Times New Roman"/>
            <w:b w:val="false"/>
            <w:i w:val="false"/>
            <w:color w:val="000000"/>
            <w:sz w:val="24"/>
          </w:rPr>
          <w:t>441—78.4</w:t>
        </w:r>
      </w:hyperlink>
      <w:r>
        <w:rPr>
          <w:rFonts w:ascii="Times New Roman" w:hAnsi="Times New Roman"/>
          <w:b w:val="false"/>
          <w:i w:val="false"/>
          <w:color w:val="000000"/>
          <w:sz w:val="24"/>
        </w:rPr>
        <w:t>(249A);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Can safely and economically be performed in an outpatient setting, as determined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78.26(4)</w:t>
      </w:r>
      <w:r>
        <w:rPr>
          <w:rFonts w:ascii="Times New Roman" w:hAnsi="Times New Roman"/>
          <w:b w:val="false"/>
          <w:i w:val="false"/>
          <w:color w:val="000000"/>
          <w:sz w:val="24"/>
        </w:rPr>
        <w:t> </w:t>
      </w:r>
      <w:r>
        <w:rPr>
          <w:rFonts w:ascii="Times New Roman" w:hAnsi="Times New Roman"/>
          <w:b w:val="false"/>
          <w:i w:val="false"/>
          <w:color w:val="000000"/>
          <w:sz w:val="24"/>
        </w:rPr>
        <w:t>Limits on covered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Abortion procedures are covered only when criteria in subrule </w:t>
      </w:r>
      <w:hyperlink r:id="rId166">
        <w:r>
          <w:rPr>
            <w:rStyle w:val="Hyperlink"/>
            <w:rFonts w:ascii="Times New Roman" w:hAnsi="Times New Roman"/>
            <w:b w:val="false"/>
            <w:i w:val="false"/>
            <w:color w:val="000000"/>
            <w:sz w:val="24"/>
          </w:rPr>
          <w:t>78.1(17)</w:t>
        </w:r>
      </w:hyperlink>
      <w:r>
        <w:rPr>
          <w:rFonts w:ascii="Times New Roman" w:hAnsi="Times New Roman"/>
          <w:b w:val="false"/>
          <w:i w:val="false"/>
          <w:color w:val="000000"/>
          <w:sz w:val="24"/>
        </w:rPr>
        <w:t xml:space="preserve">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Sterilization procedures are covered only when criteria in subrule </w:t>
      </w:r>
      <w:hyperlink r:id="rId167">
        <w:r>
          <w:rPr>
            <w:rStyle w:val="Hyperlink"/>
            <w:rFonts w:ascii="Times New Roman" w:hAnsi="Times New Roman"/>
            <w:b w:val="false"/>
            <w:i w:val="false"/>
            <w:color w:val="000000"/>
            <w:sz w:val="24"/>
          </w:rPr>
          <w:t>78.1(16)</w:t>
        </w:r>
      </w:hyperlink>
      <w:r>
        <w:rPr>
          <w:rFonts w:ascii="Times New Roman" w:hAnsi="Times New Roman"/>
          <w:b w:val="false"/>
          <w:i w:val="false"/>
          <w:color w:val="000000"/>
          <w:sz w:val="24"/>
        </w:rPr>
        <w:t xml:space="preserve">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Preprocedure review by Iowa Medicaid is required if ambulatory surgical centers are to be reimbursed for certain frequently performed surgical procedures as set forth under subrule </w:t>
      </w:r>
      <w:hyperlink r:id="rId168">
        <w:r>
          <w:rPr>
            <w:rStyle w:val="Hyperlink"/>
            <w:rFonts w:ascii="Times New Roman" w:hAnsi="Times New Roman"/>
            <w:b w:val="false"/>
            <w:i w:val="false"/>
            <w:color w:val="000000"/>
            <w:sz w:val="24"/>
          </w:rPr>
          <w:t>78.1(19)</w:t>
        </w:r>
      </w:hyperlink>
      <w:r>
        <w:rPr>
          <w:rFonts w:ascii="Times New Roman" w:hAnsi="Times New Roman"/>
          <w:b w:val="false"/>
          <w:i w:val="false"/>
          <w:color w:val="000000"/>
          <w:sz w:val="24"/>
        </w:rPr>
        <w:t>. Criteria are available from Iowa Medicaid.</w:t>
      </w:r>
    </w:p>
    <w:p>
      <w:pPr>
        <w:spacing w:before="0" w:after="0" w:line="480"/>
        <w:ind w:left="120"/>
        <w:jc w:val="both"/>
      </w:pPr>
      <w:r>
        <w:rPr>
          <w:rFonts w:ascii="Times New Roman" w:hAnsi="Times New Roman"/>
          <w:b/>
          <w:i w:val="false"/>
          <w:color w:val="000000"/>
          <w:sz w:val="24"/>
        </w:rPr>
        <w:t>441—78.27</w:t>
      </w:r>
      <w:r>
        <w:rPr>
          <w:rFonts w:ascii="Times New Roman" w:hAnsi="Times New Roman"/>
          <w:b/>
          <w:i w:val="false"/>
          <w:color w:val="000000"/>
          <w:sz w:val="24"/>
        </w:rPr>
        <w:t xml:space="preserve">(249A) </w:t>
      </w:r>
      <w:r>
        <w:rPr>
          <w:rFonts w:ascii="Times New Roman" w:hAnsi="Times New Roman"/>
          <w:b/>
          <w:i w:val="false"/>
          <w:color w:val="000000"/>
          <w:sz w:val="24"/>
        </w:rPr>
        <w:t xml:space="preserve">Home- and community-based habilitation services. </w:t>
      </w:r>
      <w:r>
        <w:rPr>
          <w:rFonts w:ascii="Times New Roman" w:hAnsi="Times New Roman"/>
          <w:b w:val="false"/>
          <w:i w:val="false"/>
          <w:color w:val="000000"/>
          <w:sz w:val="24"/>
        </w:rPr>
        <w:t>Payment for habilitation services will only be made to providers enrolled to provide habilitation through Iowa Medicaid. Payment will only be made for services provided to members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78.27(1)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“Adult” </w:t>
      </w:r>
      <w:r>
        <w:rPr>
          <w:rFonts w:ascii="Times New Roman" w:hAnsi="Times New Roman"/>
          <w:b w:val="false"/>
          <w:i w:val="false"/>
          <w:color w:val="000000"/>
          <w:sz w:val="24"/>
        </w:rPr>
        <w:t>means a person who is 18 years of age or 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“Assessment” </w:t>
      </w:r>
      <w:r>
        <w:rPr>
          <w:rFonts w:ascii="Times New Roman" w:hAnsi="Times New Roman"/>
          <w:b w:val="false"/>
          <w:i w:val="false"/>
          <w:color w:val="000000"/>
          <w:sz w:val="24"/>
        </w:rPr>
        <w:t>means the review of the current functioning of the member using the service in regard to the member’s situation, needs, strengths, abilities, desires, and goals.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“Benefits education” </w:t>
      </w:r>
      <w:r>
        <w:rPr>
          <w:rFonts w:ascii="Times New Roman" w:hAnsi="Times New Roman"/>
          <w:b w:val="false"/>
          <w:i w:val="false"/>
          <w:color w:val="000000"/>
          <w:sz w:val="24"/>
        </w:rPr>
        <w:t>means providing basic information to understand and access appropriate resources to pursue employment, and knowledge of work incentives and the Medicaid for employed persons with disabilities (MEPD) program. Benefits education may include gathering information needed to pursue work incentives and offering basic financial management information to members, families, guardians and legal representatives.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“Career exploration,” </w:t>
      </w:r>
      <w:r>
        <w:rPr>
          <w:rFonts w:ascii="Times New Roman" w:hAnsi="Times New Roman"/>
          <w:b w:val="false"/>
          <w:i w:val="false"/>
          <w:color w:val="000000"/>
          <w:sz w:val="24"/>
        </w:rPr>
        <w:t>also referred to as “career planning,” means a person-centered, comprehensive employment planning and support service that provides assistance for waiver program participants to obtain, maintain or advance in competitive employment or self-employment. Career exploration is a focused, time-limited service engaging a participant in identifying a career direction and developing a plan for achieving competitive, integrated employment at or above the state’s minimum wage. The outcome of this service is documentation of the participant’s stated career objective and a career plan used to guide individual employment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“Career plan” </w:t>
      </w:r>
      <w:r>
        <w:rPr>
          <w:rFonts w:ascii="Times New Roman" w:hAnsi="Times New Roman"/>
          <w:b w:val="false"/>
          <w:i w:val="false"/>
          <w:color w:val="000000"/>
          <w:sz w:val="24"/>
        </w:rPr>
        <w:t>means a written plan documenting the member’s stated career objective and used to guide individual employment support services for achieving competitive, integrated employment at or above the state’s minimum wage.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“Case management” </w:t>
      </w:r>
      <w:r>
        <w:rPr>
          <w:rFonts w:ascii="Times New Roman" w:hAnsi="Times New Roman"/>
          <w:b w:val="false"/>
          <w:i w:val="false"/>
          <w:color w:val="000000"/>
          <w:sz w:val="24"/>
        </w:rPr>
        <w:t xml:space="preserve">means case management services accredited under </w:t>
      </w:r>
      <w:hyperlink r:id="rId169">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 xml:space="preserve"> and provided according to </w:t>
      </w:r>
      <w:hyperlink r:id="rId170">
        <w:r>
          <w:rPr>
            <w:rStyle w:val="Hyperlink"/>
            <w:rFonts w:ascii="Times New Roman" w:hAnsi="Times New Roman"/>
            <w:b w:val="false"/>
            <w:i w:val="false"/>
            <w:color w:val="000000"/>
            <w:sz w:val="24"/>
          </w:rPr>
          <w:t>441—Chapter 90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“Certified employment specialist”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“CES” </w:t>
      </w:r>
      <w:r>
        <w:rPr>
          <w:rFonts w:ascii="Times New Roman" w:hAnsi="Times New Roman"/>
          <w:b w:val="false"/>
          <w:i w:val="false"/>
          <w:color w:val="000000"/>
          <w:sz w:val="24"/>
        </w:rPr>
        <w:t xml:space="preserve">means a person who has demonstrated a sufficient level of knowledge and skill to provide integrated employment support services to a variety of client populations and has earned a CES certification through a nationally recognized accrediting body.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“Child and Adolescent Level of Care Utilization System”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“CALOCUS” </w:t>
      </w:r>
      <w:r>
        <w:rPr>
          <w:rFonts w:ascii="Times New Roman" w:hAnsi="Times New Roman"/>
          <w:b w:val="false"/>
          <w:i w:val="false"/>
          <w:color w:val="000000"/>
          <w:sz w:val="24"/>
        </w:rPr>
        <w:t>means the comprehensive functional assessment tool utilized to determine eligibility for the habilitation program and service authorization for the home-based habilitation service and intensive residential habilitation services for individuals aged 16 to 18.</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“Comprehensive service plan” </w:t>
      </w:r>
      <w:r>
        <w:rPr>
          <w:rFonts w:ascii="Times New Roman" w:hAnsi="Times New Roman"/>
          <w:b w:val="false"/>
          <w:i w:val="false"/>
          <w:color w:val="000000"/>
          <w:sz w:val="24"/>
        </w:rPr>
        <w:t>means an individualized, person-centered, and goal-oriented plan of services written in language understandable by the member using the service and developed collaboratively by the member and the case manager.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“Customized employment” </w:t>
      </w:r>
      <w:r>
        <w:rPr>
          <w:rFonts w:ascii="Times New Roman" w:hAnsi="Times New Roman"/>
          <w:b w:val="false"/>
          <w:i w:val="false"/>
          <w:color w:val="000000"/>
          <w:sz w:val="24"/>
        </w:rPr>
        <w:t>means an approach to supported employment that individualizes the employment relationship between employees and employers in ways that meet the needs of both. Customized employment is based on an individualized determination of the strengths, needs, and interests of the person with a disability and is also designed to meet the specific needs of the employer. Customized employment may include employment developed through job carving, self-employment or entrepreneurial initiatives, or other job development or restructuring strategies that result in job responsibilities being customized and individually negotiated to fit the needs of the individual with a disability. Customized employment assumes the provision of reasonable accommodations and supports necessary for the individual to perform the functions of a job that is individually negotiated and developed.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“Emergency” </w:t>
      </w:r>
      <w:r>
        <w:rPr>
          <w:rFonts w:ascii="Times New Roman" w:hAnsi="Times New Roman"/>
          <w:b w:val="false"/>
          <w:i w:val="false"/>
          <w:color w:val="000000"/>
          <w:sz w:val="24"/>
        </w:rPr>
        <w:t>means a situation for which no approved individual program plan exists that, if not addressed, may result in injury or harm to the member or to other persons or in significant amounts of property damage.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“HCBS” </w:t>
      </w:r>
      <w:r>
        <w:rPr>
          <w:rFonts w:ascii="Times New Roman" w:hAnsi="Times New Roman"/>
          <w:b w:val="false"/>
          <w:i w:val="false"/>
          <w:color w:val="000000"/>
          <w:sz w:val="24"/>
        </w:rPr>
        <w:t>means home- and community-based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“Individual employment” </w:t>
      </w:r>
      <w:r>
        <w:rPr>
          <w:rFonts w:ascii="Times New Roman" w:hAnsi="Times New Roman"/>
          <w:b w:val="false"/>
          <w:i w:val="false"/>
          <w:color w:val="000000"/>
          <w:sz w:val="24"/>
        </w:rPr>
        <w:t>means employment in the general workforce where the member interacts with the general public to the same degree as nondisabled persons in the same job, and for which the member is paid at or above minimum wage, but not less than the customary wage and level of benefits paid by the employer for the same or similar work performed by persons without disabilities.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“Individual placement and support”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“IPS” </w:t>
      </w:r>
      <w:r>
        <w:rPr>
          <w:rFonts w:ascii="Times New Roman" w:hAnsi="Times New Roman"/>
          <w:b w:val="false"/>
          <w:i w:val="false"/>
          <w:color w:val="000000"/>
          <w:sz w:val="24"/>
        </w:rPr>
        <w:t xml:space="preserve">means the evidence-based practice of supported employment that is guided by IPS practice principles outlined by the IPS Employment Center at Westat as amended to July 1, 2026, and as measured by its employment fidelity scale available online at ipsworks.org as amended to July 1, 2026.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“Integrated community employment” </w:t>
      </w:r>
      <w:r>
        <w:rPr>
          <w:rFonts w:ascii="Times New Roman" w:hAnsi="Times New Roman"/>
          <w:b w:val="false"/>
          <w:i w:val="false"/>
          <w:color w:val="000000"/>
          <w:sz w:val="24"/>
        </w:rPr>
        <w:t>means work (including self-employment) for which an individual with a disability is paid at or above minimum wage and not less than the customary wage and level of benefits paid by the employer for the same or similar work performed by employees who are not disabled, where the individual interacts with other persons who are not disabled to the same extent as others who are in comparable positions, and that presents opportunities for advancement that are similar to those for employees who are not disabled. In the case of an individual who is self-employed, the business results in an income that is comparable to the income received by others who are not disabled and are self-employed in similar occupations.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“Intensive residential service homes”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“intensive residential services” </w:t>
      </w:r>
      <w:r>
        <w:rPr>
          <w:rFonts w:ascii="Times New Roman" w:hAnsi="Times New Roman"/>
          <w:b w:val="false"/>
          <w:i w:val="false"/>
          <w:color w:val="000000"/>
          <w:sz w:val="24"/>
        </w:rPr>
        <w:t xml:space="preserve">means intensive, community-based services provided 24 hours per day, 7 days per week, 365 days per year to individuals with a severe and persistent mental illness who have functional impairments and may also have multi-occurring conditions. Providers of intensive residential service homes are enrolled with Medicaid as providers of HCBS habilitation, home-based habilitation, or HCBS intellectual disability waiver supported community living and meet additional criteria specified in rule </w:t>
      </w:r>
      <w:hyperlink r:id="rId171">
        <w:r>
          <w:rPr>
            <w:rStyle w:val="Hyperlink"/>
            <w:rFonts w:ascii="Times New Roman" w:hAnsi="Times New Roman"/>
            <w:b w:val="false"/>
            <w:i w:val="false"/>
            <w:color w:val="000000"/>
            <w:sz w:val="24"/>
          </w:rPr>
          <w:t>441—77.30</w:t>
        </w:r>
      </w:hyperlink>
      <w:r>
        <w:rPr>
          <w:rFonts w:ascii="Times New Roman" w:hAnsi="Times New Roman"/>
          <w:b w:val="false"/>
          <w:i w:val="false"/>
          <w:color w:val="000000"/>
          <w:sz w:val="24"/>
        </w:rPr>
        <w:t>(249A) and the provider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“Interdisciplinary team” </w:t>
      </w:r>
      <w:r>
        <w:rPr>
          <w:rFonts w:ascii="Times New Roman" w:hAnsi="Times New Roman"/>
          <w:b w:val="false"/>
          <w:i w:val="false"/>
          <w:color w:val="000000"/>
          <w:sz w:val="24"/>
        </w:rPr>
        <w:t>means a group of persons with varied professional backgrounds who meet with the member to develop a comprehensive service plan to address the member’s need for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“IoWANS” </w:t>
      </w:r>
      <w:r>
        <w:rPr>
          <w:rFonts w:ascii="Times New Roman" w:hAnsi="Times New Roman"/>
          <w:b w:val="false"/>
          <w:i w:val="false"/>
          <w:color w:val="000000"/>
          <w:sz w:val="24"/>
        </w:rPr>
        <w:t>means the department’s Institutional and Waiver Authorization and Narrative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“Level of Care Utilization System”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“LOCUS” </w:t>
      </w:r>
      <w:r>
        <w:rPr>
          <w:rFonts w:ascii="Times New Roman" w:hAnsi="Times New Roman"/>
          <w:b w:val="false"/>
          <w:i w:val="false"/>
          <w:color w:val="000000"/>
          <w:sz w:val="24"/>
        </w:rPr>
        <w:t>means the comprehensive functional assessment tool utilized to determine eligibility for the habilitation program and service authorization for the home-based habilitation and intensive residential services for individuals aged 19 and 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“Managed care organization”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“MCO” </w:t>
      </w:r>
      <w:r>
        <w:rPr>
          <w:rFonts w:ascii="Times New Roman" w:hAnsi="Times New Roman"/>
          <w:b w:val="false"/>
          <w:i w:val="false"/>
          <w:color w:val="000000"/>
          <w:sz w:val="24"/>
        </w:rPr>
        <w:t xml:space="preserve">means an entity that (1) is under contract with the department to provide services to Medicaid recipients and (2) meets the definition of “health maintenance organization” as defined in Iowa Code section </w:t>
      </w:r>
      <w:hyperlink r:id="rId172">
        <w:r>
          <w:rPr>
            <w:rStyle w:val="Hyperlink"/>
            <w:rFonts w:ascii="Times New Roman" w:hAnsi="Times New Roman"/>
            <w:b w:val="false"/>
            <w:i w:val="false"/>
            <w:color w:val="000000"/>
            <w:sz w:val="24"/>
          </w:rPr>
          <w:t>514B.1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“Member” </w:t>
      </w:r>
      <w:r>
        <w:rPr>
          <w:rFonts w:ascii="Times New Roman" w:hAnsi="Times New Roman"/>
          <w:b w:val="false"/>
          <w:i w:val="false"/>
          <w:color w:val="000000"/>
          <w:sz w:val="24"/>
        </w:rPr>
        <w:t xml:space="preserve">means a person who has been determined to be eligible for Medicaid under </w:t>
      </w:r>
      <w:hyperlink r:id="rId173">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“Program” </w:t>
      </w:r>
      <w:r>
        <w:rPr>
          <w:rFonts w:ascii="Times New Roman" w:hAnsi="Times New Roman"/>
          <w:b w:val="false"/>
          <w:i w:val="false"/>
          <w:color w:val="000000"/>
          <w:sz w:val="24"/>
        </w:rPr>
        <w:t>means a set of related resources and services directed to the accomplishment of a fixed set of goals for qualifying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“Severe and persistent mental illness”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“SPMI” </w:t>
      </w:r>
      <w:r>
        <w:rPr>
          <w:rFonts w:ascii="Times New Roman" w:hAnsi="Times New Roman"/>
          <w:b w:val="false"/>
          <w:i w:val="false"/>
          <w:color w:val="000000"/>
          <w:sz w:val="24"/>
        </w:rPr>
        <w:t>means a documented primary mental health disorder diagnosed by a mental health professional that causes symptoms and impairments in basic mental and behavioral processes that produce distress and major functional disability in adult role functioning inclusive of social, personal, family, educational, or vocational roles.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“Supported employment” </w:t>
      </w:r>
      <w:r>
        <w:rPr>
          <w:rFonts w:ascii="Times New Roman" w:hAnsi="Times New Roman"/>
          <w:b w:val="false"/>
          <w:i w:val="false"/>
          <w:color w:val="000000"/>
          <w:sz w:val="24"/>
        </w:rPr>
        <w:t>means the ongoing supports to participants who, because of their disabilities, need intensive ongoing support to obtain and maintain an individual job in competitive or customized employment, or self-employment, in an integrated work setting in the general workforce at or above the state’s minimum wage or at or above the customary wage and level of benefits paid by the employer for the same or similar work performed by individuals without disabilities. The outcome of this service is sustained paid employment at or above the minimum wage in an integrated setting in the general workforce in a job that meets personal and career goals. Supported employment services can be provided through many different service models.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“Supported self-employment” </w:t>
      </w:r>
      <w:r>
        <w:rPr>
          <w:rFonts w:ascii="Times New Roman" w:hAnsi="Times New Roman"/>
          <w:b w:val="false"/>
          <w:i w:val="false"/>
          <w:color w:val="000000"/>
          <w:sz w:val="24"/>
        </w:rPr>
        <w:t>includes services and supports that assist the participant in achieving self-employment through the operation of a business; however, Medicaid funds may not be used to defray the expenses associated with starting up or operating a business. Assistance for self-employment may include aid to the individual in identifying potential business opportunities; assistance in the development of a business plan, including potential sources of business financing and other assistance in developing and launching a business; identification of the supports necessary for the individual to operate the business; and ongoing assistance, counseling and guidance once the business has been launched.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“Sustained employment” </w:t>
      </w:r>
      <w:r>
        <w:rPr>
          <w:rFonts w:ascii="Times New Roman" w:hAnsi="Times New Roman"/>
          <w:b w:val="false"/>
          <w:i w:val="false"/>
          <w:color w:val="000000"/>
          <w:sz w:val="24"/>
        </w:rPr>
        <w:t>means an individual employment situation that the member maintains over time but not for less than 90 calendar days following the receipt of employment services and supports.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78.27(2)</w:t>
      </w:r>
      <w:r>
        <w:rPr>
          <w:rFonts w:ascii="Times New Roman" w:hAnsi="Times New Roman"/>
          <w:b w:val="false"/>
          <w:i w:val="false"/>
          <w:color w:val="000000"/>
          <w:sz w:val="24"/>
        </w:rPr>
        <w:t> </w:t>
      </w:r>
      <w:r>
        <w:rPr>
          <w:rFonts w:ascii="Times New Roman" w:hAnsi="Times New Roman"/>
          <w:b w:val="false"/>
          <w:i/>
          <w:color w:val="000000"/>
          <w:sz w:val="24"/>
        </w:rPr>
        <w:t xml:space="preserve">Member eligibility. </w:t>
      </w:r>
      <w:r>
        <w:rPr>
          <w:rFonts w:ascii="Times New Roman" w:hAnsi="Times New Roman"/>
          <w:b w:val="false"/>
          <w:i w:val="false"/>
          <w:color w:val="000000"/>
          <w:sz w:val="24"/>
        </w:rPr>
        <w:t>To be eligible to receive home- and community-based habilitation services, a member shall meet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LOCUS/CALOCUS actual disposition. </w:t>
      </w:r>
      <w:r>
        <w:rPr>
          <w:rFonts w:ascii="Times New Roman" w:hAnsi="Times New Roman"/>
          <w:b w:val="false"/>
          <w:i w:val="false"/>
          <w:color w:val="000000"/>
          <w:sz w:val="24"/>
        </w:rPr>
        <w:t>The member has a LOCUS/CALOCUS actual disposition of level one recovery maintenance and health management or higher on the most current LOCUS/CALOCUS assessment completed within the past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Risk factors. </w:t>
      </w:r>
      <w:r>
        <w:rPr>
          <w:rFonts w:ascii="Times New Roman" w:hAnsi="Times New Roman"/>
          <w:b w:val="false"/>
          <w:i w:val="false"/>
          <w:color w:val="000000"/>
          <w:sz w:val="24"/>
        </w:rPr>
        <w:t>The member meets the risk-based criteria as defined in the HCBS habilitation manual.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Need for assistance. </w:t>
      </w:r>
      <w:r>
        <w:rPr>
          <w:rFonts w:ascii="Times New Roman" w:hAnsi="Times New Roman"/>
          <w:b w:val="false"/>
          <w:i w:val="false"/>
          <w:color w:val="000000"/>
          <w:sz w:val="24"/>
        </w:rPr>
        <w:t>The member has a need for assistance demonstrated by meeting at least two of the needs-based criteria as defined in the HCBS habilitation manual on a continuing or intermittent basis for at least 12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Income. </w:t>
      </w:r>
      <w:r>
        <w:rPr>
          <w:rFonts w:ascii="Times New Roman" w:hAnsi="Times New Roman"/>
          <w:b w:val="false"/>
          <w:i w:val="false"/>
          <w:color w:val="000000"/>
          <w:sz w:val="24"/>
        </w:rPr>
        <w:t>The countable income used in determining the member’s Medicaid eligibility does not exceed 150 percent of the federal poverty level.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Needs assessment. </w:t>
      </w:r>
      <w:r>
        <w:rPr>
          <w:rFonts w:ascii="Times New Roman" w:hAnsi="Times New Roman"/>
          <w:b w:val="false"/>
          <w:i w:val="false"/>
          <w:color w:val="000000"/>
          <w:sz w:val="24"/>
        </w:rPr>
        <w:t>The department-approved assessment tool has been completed, and Iowa Medicaid has determined that the member is in need of home- and community-based habilitation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Designated case manager. </w:t>
      </w:r>
      <w:r>
        <w:rPr>
          <w:rFonts w:ascii="Times New Roman" w:hAnsi="Times New Roman"/>
          <w:b w:val="false"/>
          <w:i w:val="false"/>
          <w:color w:val="000000"/>
          <w:sz w:val="24"/>
        </w:rPr>
        <w:t>The designated case manager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Arrange for the completion of the needs-based assessment before services begin, and annually thereafter, and more frequently if significant observable changes occur in the member’s situation, condition, or circumstances.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Use the information submission tool and other supporting documentation as relevant to develop a comprehensive service plan as specified in subrule </w:t>
      </w:r>
      <w:hyperlink r:id="rId174">
        <w:r>
          <w:rPr>
            <w:rStyle w:val="Hyperlink"/>
            <w:rFonts w:ascii="Times New Roman" w:hAnsi="Times New Roman"/>
            <w:b w:val="false"/>
            <w:i w:val="false"/>
            <w:color w:val="000000"/>
            <w:sz w:val="24"/>
          </w:rPr>
          <w:t>78.27(4)</w:t>
        </w:r>
      </w:hyperlink>
      <w:r>
        <w:rPr>
          <w:rFonts w:ascii="Times New Roman" w:hAnsi="Times New Roman"/>
          <w:b w:val="false"/>
          <w:i w:val="false"/>
          <w:color w:val="000000"/>
          <w:sz w:val="24"/>
        </w:rPr>
        <w:t xml:space="preserve"> and </w:t>
      </w:r>
      <w:hyperlink r:id="rId175">
        <w:r>
          <w:rPr>
            <w:rStyle w:val="Hyperlink"/>
            <w:rFonts w:ascii="Times New Roman" w:hAnsi="Times New Roman"/>
            <w:b w:val="false"/>
            <w:i w:val="false"/>
            <w:color w:val="000000"/>
            <w:sz w:val="24"/>
          </w:rPr>
          <w:t>441—paragraph 90.4(1)</w:t>
        </w:r>
      </w:hyperlink>
      <w:r>
        <w:rPr>
          <w:rFonts w:ascii="Times New Roman" w:hAnsi="Times New Roman"/>
          <w:b w:val="false"/>
          <w:i/>
          <w:color w:val="000000"/>
          <w:sz w:val="24"/>
        </w:rPr>
        <w:t>“b”</w:t>
      </w:r>
      <w:r>
        <w:rPr>
          <w:rFonts w:ascii="Times New Roman" w:hAnsi="Times New Roman"/>
          <w:b w:val="false"/>
          <w:i w:val="false"/>
          <w:color w:val="000000"/>
          <w:sz w:val="24"/>
        </w:rPr>
        <w:t xml:space="preserve"> before services begin and annually thereafter, and when there is a significant observable change in the member’s situation, condition, or circumstances.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Plan for service. </w:t>
      </w:r>
      <w:r>
        <w:rPr>
          <w:rFonts w:ascii="Times New Roman" w:hAnsi="Times New Roman"/>
          <w:b w:val="false"/>
          <w:i w:val="false"/>
          <w:color w:val="000000"/>
          <w:sz w:val="24"/>
        </w:rPr>
        <w:t>The department or the member’s MCO has approved the member’s comprehensive service plan for home- and community-based habilitation services. Home- and community-based habilitation services included in a comprehensive service plan or treatment plan that has been validated by Iowa Medicaid or the member’s MCO will be considered approved by the department. Home- and community-based habilitation services provided before approval of a member’s eligibility for the program cannot be reimbursed.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member’s comprehensive service plan shall be completed annually according to the requirements of subrule </w:t>
      </w:r>
      <w:hyperlink r:id="rId176">
        <w:r>
          <w:rPr>
            <w:rStyle w:val="Hyperlink"/>
            <w:rFonts w:ascii="Times New Roman" w:hAnsi="Times New Roman"/>
            <w:b w:val="false"/>
            <w:i w:val="false"/>
            <w:color w:val="000000"/>
            <w:sz w:val="24"/>
          </w:rPr>
          <w:t>78.27(4)</w:t>
        </w:r>
      </w:hyperlink>
      <w:r>
        <w:rPr>
          <w:rFonts w:ascii="Times New Roman" w:hAnsi="Times New Roman"/>
          <w:b w:val="false"/>
          <w:i w:val="false"/>
          <w:color w:val="000000"/>
          <w:sz w:val="24"/>
        </w:rPr>
        <w:t xml:space="preserve"> and </w:t>
      </w:r>
      <w:hyperlink r:id="rId177">
        <w:r>
          <w:rPr>
            <w:rStyle w:val="Hyperlink"/>
            <w:rFonts w:ascii="Times New Roman" w:hAnsi="Times New Roman"/>
            <w:b w:val="false"/>
            <w:i w:val="false"/>
            <w:color w:val="000000"/>
            <w:sz w:val="24"/>
          </w:rPr>
          <w:t>441—paragraph 90.4(1)</w:t>
        </w:r>
      </w:hyperlink>
      <w:r>
        <w:rPr>
          <w:rFonts w:ascii="Times New Roman" w:hAnsi="Times New Roman"/>
          <w:b w:val="false"/>
          <w:i/>
          <w:color w:val="000000"/>
          <w:sz w:val="24"/>
        </w:rPr>
        <w:t>“b.”</w:t>
      </w:r>
      <w:r>
        <w:rPr>
          <w:rFonts w:ascii="Times New Roman" w:hAnsi="Times New Roman"/>
          <w:b w:val="false"/>
          <w:i w:val="false"/>
          <w:color w:val="000000"/>
          <w:sz w:val="24"/>
        </w:rPr>
        <w:t xml:space="preserve"> A service plan may change when requested by the member or the member’s interdisciplinary team when there is a significant observable change in the member’s situation, condition, or circumstances.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members receiving home-based habilitation, the service plan shall include the member’s needs-based assessment, actual disposition, the composite score, and each individual domain score for each of the six assessed domains.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member’s habilitation services shall not exceed the maximum number of units established for each service in </w:t>
      </w:r>
      <w:hyperlink r:id="rId178">
        <w:r>
          <w:rPr>
            <w:rStyle w:val="Hyperlink"/>
            <w:rFonts w:ascii="Times New Roman" w:hAnsi="Times New Roman"/>
            <w:b w:val="false"/>
            <w:i w:val="false"/>
            <w:color w:val="000000"/>
            <w:sz w:val="24"/>
          </w:rPr>
          <w:t>441—subrule 79.1(2)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cost of the habilitation services shall not exceed unit expense maximums established in </w:t>
      </w:r>
      <w:hyperlink r:id="rId179">
        <w:r>
          <w:rPr>
            <w:rStyle w:val="Hyperlink"/>
            <w:rFonts w:ascii="Times New Roman" w:hAnsi="Times New Roman"/>
            <w:b w:val="false"/>
            <w:i w:val="false"/>
            <w:color w:val="000000"/>
            <w:sz w:val="24"/>
          </w:rPr>
          <w:t>441—subrule 79.1(2)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78.27(3)</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services. </w:t>
      </w:r>
      <w:r>
        <w:rPr>
          <w:rFonts w:ascii="Times New Roman" w:hAnsi="Times New Roman"/>
          <w:b w:val="false"/>
          <w:i w:val="false"/>
          <w:color w:val="000000"/>
          <w:sz w:val="24"/>
        </w:rPr>
        <w:t xml:space="preserve">The member or case manager shall apply for habilitation services on behalf of a member by contacting Iowa Medicaid. The department will issue a notice of decision to the applicant in accordance with </w:t>
      </w:r>
      <w:hyperlink r:id="rId180">
        <w:r>
          <w:rPr>
            <w:rStyle w:val="Hyperlink"/>
            <w:rFonts w:ascii="Times New Roman" w:hAnsi="Times New Roman"/>
            <w:b w:val="false"/>
            <w:i w:val="false"/>
            <w:color w:val="000000"/>
            <w:sz w:val="24"/>
          </w:rPr>
          <w:t>441—Chapter 16</w:t>
        </w:r>
      </w:hyperlink>
      <w:r>
        <w:rPr>
          <w:rFonts w:ascii="Times New Roman" w:hAnsi="Times New Roman"/>
          <w:b w:val="false"/>
          <w:i w:val="false"/>
          <w:color w:val="000000"/>
          <w:sz w:val="24"/>
        </w:rPr>
        <w:t xml:space="preserve"> when financial eligibility and needs-based eligibility determinations have been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78.27(4)</w:t>
      </w:r>
      <w:r>
        <w:rPr>
          <w:rFonts w:ascii="Times New Roman" w:hAnsi="Times New Roman"/>
          <w:b w:val="false"/>
          <w:i w:val="false"/>
          <w:color w:val="000000"/>
          <w:sz w:val="24"/>
        </w:rPr>
        <w:t> </w:t>
      </w:r>
      <w:r>
        <w:rPr>
          <w:rFonts w:ascii="Times New Roman" w:hAnsi="Times New Roman"/>
          <w:b w:val="false"/>
          <w:i/>
          <w:color w:val="000000"/>
          <w:sz w:val="24"/>
        </w:rPr>
        <w:t xml:space="preserve">Comprehensive service plan. </w:t>
      </w:r>
      <w:r>
        <w:rPr>
          <w:rFonts w:ascii="Times New Roman" w:hAnsi="Times New Roman"/>
          <w:b w:val="false"/>
          <w:i w:val="false"/>
          <w:color w:val="000000"/>
          <w:sz w:val="24"/>
        </w:rPr>
        <w:t>Individualized, planned, and appropriate services shall be guided by a member-specific comprehensive service plan or treatment plan developed with the member in collaboration with an interdisciplinary team, as appropriate. Medically necessary services shall be planned for and provided at the locations where the member lives, learns, works, and socializes.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Development. </w:t>
      </w:r>
      <w:r>
        <w:rPr>
          <w:rFonts w:ascii="Times New Roman" w:hAnsi="Times New Roman"/>
          <w:b w:val="false"/>
          <w:i w:val="false"/>
          <w:color w:val="000000"/>
          <w:sz w:val="24"/>
        </w:rPr>
        <w:t>A comprehensive service plan or treatment plan shall be developed for each member receiving home- and community-based habilitation services based on the member’s current assessment and shall be reviewed on an annual basis. The comprehensive service plan will meet the criteria described in the HCBS habilitation manual.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Rights restrictions. </w:t>
      </w:r>
      <w:r>
        <w:rPr>
          <w:rFonts w:ascii="Times New Roman" w:hAnsi="Times New Roman"/>
          <w:b w:val="false"/>
          <w:i w:val="false"/>
          <w:color w:val="000000"/>
          <w:sz w:val="24"/>
        </w:rPr>
        <w:t xml:space="preserve">Any rights restrictions must be implemented in accordance with </w:t>
      </w:r>
      <w:hyperlink r:id="rId181">
        <w:r>
          <w:rPr>
            <w:rStyle w:val="Hyperlink"/>
            <w:rFonts w:ascii="Times New Roman" w:hAnsi="Times New Roman"/>
            <w:b w:val="false"/>
            <w:i w:val="false"/>
            <w:color w:val="000000"/>
            <w:sz w:val="24"/>
          </w:rPr>
          <w:t>441—subrule 77.30(4)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Emergency plan. </w:t>
      </w:r>
      <w:r>
        <w:rPr>
          <w:rFonts w:ascii="Times New Roman" w:hAnsi="Times New Roman"/>
          <w:b w:val="false"/>
          <w:i w:val="false"/>
          <w:color w:val="000000"/>
          <w:sz w:val="24"/>
        </w:rPr>
        <w:t>The comprehensive service plan or treatment plan shall include a plan for emergencies and identification of the supports available to the member in an emergency. Emergency plans shall be developed as detailed in the HCBS habilitation manual.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Plan approval. </w:t>
      </w:r>
      <w:r>
        <w:rPr>
          <w:rFonts w:ascii="Times New Roman" w:hAnsi="Times New Roman"/>
          <w:b w:val="false"/>
          <w:i w:val="false"/>
          <w:color w:val="000000"/>
          <w:sz w:val="24"/>
        </w:rPr>
        <w:t xml:space="preserve">Services shall be entered into IoWANS based on the comprehensive service plan. A comprehensive service plan or treatment plan that has been validated and authorized through IoWANS will be considered approved by the department. Services must be authorized in IoWANS as specified in paragraph </w:t>
      </w:r>
      <w:hyperlink r:id="rId182">
        <w:r>
          <w:rPr>
            <w:rStyle w:val="Hyperlink"/>
            <w:rFonts w:ascii="Times New Roman" w:hAnsi="Times New Roman"/>
            <w:b w:val="false"/>
            <w:i w:val="false"/>
            <w:color w:val="000000"/>
            <w:sz w:val="24"/>
          </w:rPr>
          <w:t>78.27(2)</w:t>
        </w:r>
        <w:r>
          <w:rPr>
            <w:rFonts w:ascii="Times New Roman" w:hAnsi="Times New Roman"/>
            <w:b w:val="false"/>
            <w:i/>
            <w:color w:val="000000"/>
            <w:sz w:val="24"/>
          </w:rPr>
          <w:t>“g.”</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78.27(5)</w:t>
      </w:r>
      <w:r>
        <w:rPr>
          <w:rFonts w:ascii="Times New Roman" w:hAnsi="Times New Roman"/>
          <w:b w:val="false"/>
          <w:i w:val="false"/>
          <w:color w:val="000000"/>
          <w:sz w:val="24"/>
        </w:rPr>
        <w:t> </w:t>
      </w:r>
      <w:r>
        <w:rPr>
          <w:rFonts w:ascii="Times New Roman" w:hAnsi="Times New Roman"/>
          <w:b w:val="false"/>
          <w:i/>
          <w:color w:val="000000"/>
          <w:sz w:val="24"/>
        </w:rPr>
        <w:t xml:space="preserve">Requirements for services. </w:t>
      </w:r>
      <w:r>
        <w:rPr>
          <w:rFonts w:ascii="Times New Roman" w:hAnsi="Times New Roman"/>
          <w:b w:val="false"/>
          <w:i w:val="false"/>
          <w:color w:val="000000"/>
          <w:sz w:val="24"/>
        </w:rPr>
        <w:t>Home- and community-based habilitation services shall be provided in accordance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services shall be based on the member’s needs as identified in the member’s comprehensive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services shall be delivered in the least restrictive environment appropriate to the needs of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services shall include the applicable and necessary instruction, supervision, assistance, and support required by the member to achieve the member’s life goals.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Service components that are the same or similar shall not be provided simultaneously.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Service costs are not reimbursable while the member is in a medical institution, including but not limited to a hospital or nursing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Reimbursement is not available for room and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Services shall be billed in whole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Services shall be documented. Each unit billed must have corresponding financial and medical records as set forth in rule </w:t>
      </w:r>
      <w:hyperlink r:id="rId183">
        <w:r>
          <w:rPr>
            <w:rStyle w:val="Hyperlink"/>
            <w:rFonts w:ascii="Times New Roman" w:hAnsi="Times New Roman"/>
            <w:b w:val="false"/>
            <w:i w:val="false"/>
            <w:color w:val="000000"/>
            <w:sz w:val="24"/>
          </w:rPr>
          <w:t>441—79.3</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78.27(6)</w:t>
      </w:r>
      <w:r>
        <w:rPr>
          <w:rFonts w:ascii="Times New Roman" w:hAnsi="Times New Roman"/>
          <w:b w:val="false"/>
          <w:i w:val="false"/>
          <w:color w:val="000000"/>
          <w:sz w:val="24"/>
        </w:rPr>
        <w:t> </w:t>
      </w:r>
      <w:r>
        <w:rPr>
          <w:rFonts w:ascii="Times New Roman" w:hAnsi="Times New Roman"/>
          <w:b w:val="false"/>
          <w:i/>
          <w:color w:val="000000"/>
          <w:sz w:val="24"/>
        </w:rPr>
        <w:t xml:space="preserve">Case management. </w:t>
      </w:r>
      <w:r>
        <w:rPr>
          <w:rFonts w:ascii="Times New Roman" w:hAnsi="Times New Roman"/>
          <w:b w:val="false"/>
          <w:i w:val="false"/>
          <w:color w:val="000000"/>
          <w:sz w:val="24"/>
        </w:rPr>
        <w:t>Case management assists members in gaining access to needed medical, social, educational, housing, transportation, vocational, and other appropriate services in order to ensure the health, safety, and welfare of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Scope. </w:t>
      </w:r>
      <w:r>
        <w:rPr>
          <w:rFonts w:ascii="Times New Roman" w:hAnsi="Times New Roman"/>
          <w:b w:val="false"/>
          <w:i w:val="false"/>
          <w:color w:val="000000"/>
          <w:sz w:val="24"/>
        </w:rPr>
        <w:t xml:space="preserve">Case management services shall be provided as set forth in rules </w:t>
      </w:r>
      <w:hyperlink r:id="rId184">
        <w:r>
          <w:rPr>
            <w:rStyle w:val="Hyperlink"/>
            <w:rFonts w:ascii="Times New Roman" w:hAnsi="Times New Roman"/>
            <w:b w:val="false"/>
            <w:i w:val="false"/>
            <w:color w:val="000000"/>
            <w:sz w:val="24"/>
          </w:rPr>
          <w:t>441—90.4</w:t>
        </w:r>
      </w:hyperlink>
      <w:r>
        <w:rPr>
          <w:rFonts w:ascii="Times New Roman" w:hAnsi="Times New Roman"/>
          <w:b w:val="false"/>
          <w:i w:val="false"/>
          <w:color w:val="000000"/>
          <w:sz w:val="24"/>
        </w:rPr>
        <w:t xml:space="preserve">(249A) through </w:t>
      </w:r>
      <w:hyperlink r:id="rId185">
        <w:r>
          <w:rPr>
            <w:rStyle w:val="Hyperlink"/>
            <w:rFonts w:ascii="Times New Roman" w:hAnsi="Times New Roman"/>
            <w:b w:val="false"/>
            <w:i w:val="false"/>
            <w:color w:val="000000"/>
            <w:sz w:val="24"/>
          </w:rPr>
          <w:t>441—90.7</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Exclusions. </w:t>
      </w:r>
      <w:r>
        <w:rPr>
          <w:rFonts w:ascii="Times New Roman" w:hAnsi="Times New Roman"/>
          <w:b w:val="false"/>
          <w:i w:val="false"/>
          <w:color w:val="000000"/>
          <w:sz w:val="24"/>
        </w:rPr>
        <w:t xml:space="preserve">Payment will not be made for case management provided to a member who is eligible for targeted case management services under </w:t>
      </w:r>
      <w:hyperlink r:id="rId186">
        <w:r>
          <w:rPr>
            <w:rStyle w:val="Hyperlink"/>
            <w:rFonts w:ascii="Times New Roman" w:hAnsi="Times New Roman"/>
            <w:b w:val="false"/>
            <w:i w:val="false"/>
            <w:color w:val="000000"/>
            <w:sz w:val="24"/>
          </w:rPr>
          <w:t>441—Chapter 90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78.27(7)</w:t>
      </w:r>
      <w:r>
        <w:rPr>
          <w:rFonts w:ascii="Times New Roman" w:hAnsi="Times New Roman"/>
          <w:b w:val="false"/>
          <w:i w:val="false"/>
          <w:color w:val="000000"/>
          <w:sz w:val="24"/>
        </w:rPr>
        <w:t> </w:t>
      </w:r>
      <w:r>
        <w:rPr>
          <w:rFonts w:ascii="Times New Roman" w:hAnsi="Times New Roman"/>
          <w:b w:val="false"/>
          <w:i/>
          <w:color w:val="000000"/>
          <w:sz w:val="24"/>
        </w:rPr>
        <w:t xml:space="preserve">Home-based habilitation. </w:t>
      </w:r>
      <w:r>
        <w:rPr>
          <w:rFonts w:ascii="Times New Roman" w:hAnsi="Times New Roman"/>
          <w:b w:val="false"/>
          <w:i w:val="false"/>
          <w:color w:val="000000"/>
          <w:sz w:val="24"/>
        </w:rPr>
        <w:t>“Home-based habilitation” means individually tailored supports that assist with the acquisition, retention, or improvement of skills related to living, working, and recreating in the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Scope. </w:t>
      </w:r>
      <w:r>
        <w:rPr>
          <w:rFonts w:ascii="Times New Roman" w:hAnsi="Times New Roman"/>
          <w:b w:val="false"/>
          <w:i w:val="false"/>
          <w:color w:val="000000"/>
          <w:sz w:val="24"/>
        </w:rPr>
        <w:t>Home-based habilitation services are individualized supportive services provided in the member’s home and community that assist the member to reside in the most integrated setting appropriate to the member’s needs. Services are intended to provide for the daily living needs of the member and shall be available as needed during any 24-hour period. The specific support needs for each member shall be determined necessary by the interdisciplinary team and shall be identified in the member’s comprehensive service plan. Covered supports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Adaptive skill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Assistance with activities to address daily living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Assistance with symptom management and participation in mental health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Assistance with accessing physical and mental health care treatment, communication, and implementation of health care recommendations and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Assistance with accessing and participating in substance use disorder treatment and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Assistance with medication administration and medication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Assistance with understanding communication whether verbal or written;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Community inclusion and active participation in the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Transportation;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Adult educational supports, which may include assistance and support with enrolling in educational opportunities and participation in education and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Social and leisure skill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Personal care;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Protective oversight and supervision.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Setting requirements. </w:t>
      </w:r>
      <w:r>
        <w:rPr>
          <w:rFonts w:ascii="Times New Roman" w:hAnsi="Times New Roman"/>
          <w:b w:val="false"/>
          <w:i w:val="false"/>
          <w:color w:val="000000"/>
          <w:sz w:val="24"/>
        </w:rPr>
        <w:t>Home-based habilitation services shall occur in the member’s home and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 member may live in the member’s own home, within the home of the member’s family or legal representative, or in another community living arrangement that meets the criteria in </w:t>
      </w:r>
      <w:hyperlink r:id="rId187">
        <w:r>
          <w:rPr>
            <w:rStyle w:val="Hyperlink"/>
            <w:rFonts w:ascii="Times New Roman" w:hAnsi="Times New Roman"/>
            <w:b w:val="false"/>
            <w:i w:val="false"/>
            <w:color w:val="000000"/>
            <w:sz w:val="24"/>
          </w:rPr>
          <w:t>441—subrule 77.30(5)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member living with the member’s family or legal representative is not subject to the criteria in 441—paragraphs </w:t>
      </w:r>
      <w:hyperlink r:id="rId188">
        <w:r>
          <w:rPr>
            <w:rStyle w:val="Hyperlink"/>
            <w:rFonts w:ascii="Times New Roman" w:hAnsi="Times New Roman"/>
            <w:b w:val="false"/>
            <w:i w:val="false"/>
            <w:color w:val="000000"/>
            <w:sz w:val="24"/>
          </w:rPr>
          <w:t>77.30(7)</w:t>
        </w:r>
      </w:hyperlink>
      <w:r>
        <w:rPr>
          <w:rFonts w:ascii="Times New Roman" w:hAnsi="Times New Roman"/>
          <w:b w:val="false"/>
          <w:i/>
          <w:color w:val="000000"/>
          <w:sz w:val="24"/>
        </w:rPr>
        <w:t>“d”</w:t>
      </w:r>
      <w:r>
        <w:rPr>
          <w:rFonts w:ascii="Times New Roman" w:hAnsi="Times New Roman"/>
          <w:b w:val="false"/>
          <w:i w:val="false"/>
          <w:color w:val="000000"/>
          <w:sz w:val="24"/>
        </w:rPr>
        <w:t xml:space="preserve"> and </w:t>
      </w:r>
      <w:r>
        <w:rPr>
          <w:rFonts w:ascii="Times New Roman" w:hAnsi="Times New Roman"/>
          <w:b w:val="false"/>
          <w:i/>
          <w:color w:val="000000"/>
          <w:sz w:val="24"/>
        </w:rPr>
        <w: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member may not reside in a licensed medical or health care facility or in a setting that is required to be licensed as a medical or health care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Home-based habilitation level of service criteria. </w:t>
      </w:r>
      <w:r>
        <w:rPr>
          <w:rFonts w:ascii="Times New Roman" w:hAnsi="Times New Roman"/>
          <w:b w:val="false"/>
          <w:i w:val="false"/>
          <w:color w:val="000000"/>
          <w:sz w:val="24"/>
        </w:rPr>
        <w:t>Home-based habilitation services shall be available to members based on the member’s most current assessment of need according to the criteria detailed in the HCBS habilitation manual.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Additional criteria for receiving home-based habilitation services for transition-age youth 16 to 18 years of age.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Members residing in the family home may receive home-based habilitation services as needed, subject to the criteria set forth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Individuals 16 to 18 years of age shall receive 24-hour site supervision and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Members residing outside of the family home may receive daily home-based habilitation in a provider-owned or controlled setting when the following criteria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proposed living environment must meet HCBS setting requirements in accordance with </w:t>
      </w:r>
      <w:hyperlink r:id="rId189">
        <w:r>
          <w:rPr>
            <w:rStyle w:val="Hyperlink"/>
            <w:rFonts w:ascii="Times New Roman" w:hAnsi="Times New Roman"/>
            <w:b w:val="false"/>
            <w:i w:val="false"/>
            <w:color w:val="000000"/>
            <w:sz w:val="24"/>
          </w:rPr>
          <w:t>441—subrule 77.30(5)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All providers of the service setting being requested must meet the following additional safety and service requirements for serving youth under the age of 18: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Individuals under the age of 18 may not reside in settings with individuals over the age of 21.</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comprehensive service plan shall specifically identify educational services and supports for individuals who have not obtained a high school diploma or equivalent.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For individuals who have obtained a high school diploma or equivalent, the comprehensive service plan shall include supported employment, additional training, or educational supports.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member’s parent or guardian has consented to home-based habilitation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member is able to pay room and board costs (funding sources may include but are not limited to supplemental security income, child support, adoptions subsidy, or private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Youth under the age of 16 needing daily home-based habilitation outside the family home must receive services in a licensed or certified residential-based supported community living setting.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Exclusions. </w:t>
      </w:r>
      <w:r>
        <w:rPr>
          <w:rFonts w:ascii="Times New Roman" w:hAnsi="Times New Roman"/>
          <w:b w:val="false"/>
          <w:i w:val="false"/>
          <w:color w:val="000000"/>
          <w:sz w:val="24"/>
        </w:rPr>
        <w:t>Home-based habilitation payment will not be made for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Room and board and maintenance costs, including the cost of rent or mortgage, utilities, telephone, food, household supplies, and building maintenance, upkeep, or improvement.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Service activities associated with vocational services, day care, medical services, or case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Transportation to and from a day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Services provided to a member who lives in a licensed residential care facility of more than 16 persons.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Services provided to a member who lives in a facility that provides the same service as part of an inclusive or “bundled” service rate, such as a nursing facility or an ICF/ID.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Personal care and protective oversight and supervision may be a component part of home-based habilitation services but may not comprise the entirety of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78.27(8)</w:t>
      </w:r>
      <w:r>
        <w:rPr>
          <w:rFonts w:ascii="Times New Roman" w:hAnsi="Times New Roman"/>
          <w:b w:val="false"/>
          <w:i w:val="false"/>
          <w:color w:val="000000"/>
          <w:sz w:val="24"/>
        </w:rPr>
        <w:t> </w:t>
      </w:r>
      <w:r>
        <w:rPr>
          <w:rFonts w:ascii="Times New Roman" w:hAnsi="Times New Roman"/>
          <w:b w:val="false"/>
          <w:i/>
          <w:color w:val="000000"/>
          <w:sz w:val="24"/>
        </w:rPr>
        <w:t xml:space="preserve">Day habilitation. </w:t>
      </w:r>
      <w:r>
        <w:rPr>
          <w:rFonts w:ascii="Times New Roman" w:hAnsi="Times New Roman"/>
          <w:b w:val="false"/>
          <w:i w:val="false"/>
          <w:color w:val="000000"/>
          <w:sz w:val="24"/>
        </w:rPr>
        <w:t>“Day habilitation” means services that provide opportunities and support for community inclusion and build interest in and develop skills for active participation in recreation, volunteerism and integrated community employment. Day habilitation provides assistance with acquisition, retention, or improvement of socialization, community participation, and daily living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Scope. </w:t>
      </w:r>
      <w:r>
        <w:rPr>
          <w:rFonts w:ascii="Times New Roman" w:hAnsi="Times New Roman"/>
          <w:b w:val="false"/>
          <w:i w:val="false"/>
          <w:color w:val="000000"/>
          <w:sz w:val="24"/>
        </w:rPr>
        <w:t>Day habilitation activities and environments are designed to foster the acquisition of skills, positive social behavior, greater independence, and personal choice. Services focus on supporting the member to participate in the community, develop social roles and relationships, and increase independence and the potential for employment. Services are designed to assist the member to attain or maintain the member’s individual goals as identified in the member’s comprehensive service plan. Services may also provide wraparound support secondary to community employment. Day habilitation activities may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Identifying the member’s interests, preferences, skills, strengths and contributions,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Identifying the conditions and supports necessary for full community inclusion and the potential for competitive integrated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Planning and coordination of the member’s individualized daily and weekly day habilitation schedule,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Developing skills and competencies necessary to pursue competitive integrated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Participating in community activities related to hobbies, leisure, personal health, and wellness,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Participating in community activities related to cultural, civic, and religious interests,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Participating in adult learning opportunities,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Participating in volunteer opportunities,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Training and education in self-advocacy and self-determination to support the member’s ability to make informed choices about where to live, work, and recreate,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Assistance with behavior management and self-regulation,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Use of transportation and other community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Assistance with developing and maintaining natural relationships in the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Assistance with identifying and using natural supports,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Assistance with accessing financial literacy and benefits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Other activities deemed necessary to assist the member with full participation in the community, developing social roles and relationships, and increasing independence and the potential for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Family training option. </w:t>
      </w:r>
      <w:r>
        <w:rPr>
          <w:rFonts w:ascii="Times New Roman" w:hAnsi="Times New Roman"/>
          <w:b w:val="false"/>
          <w:i w:val="false"/>
          <w:color w:val="000000"/>
          <w:sz w:val="24"/>
        </w:rPr>
        <w:t>Day habilitation services may include training families in treatment and support methodologies or in the care and use of equipment. Family training may be provided in the member’s home. The unit of service is 15 minutes. The units of services payable are limited to a maximum of 40 units per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Expected outcome of service. </w:t>
      </w:r>
      <w:r>
        <w:rPr>
          <w:rFonts w:ascii="Times New Roman" w:hAnsi="Times New Roman"/>
          <w:b w:val="false"/>
          <w:i w:val="false"/>
          <w:color w:val="000000"/>
          <w:sz w:val="24"/>
        </w:rPr>
        <w:t>The expected outcome of day habilitation services is active participation in the community in which the member lives, works, and recreates. Members are expected to have opportunities to interact with individuals without disabilities in the community, other than those providing direct services, to the same extent as individuals without disabilities.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Setting. </w:t>
      </w:r>
      <w:r>
        <w:rPr>
          <w:rFonts w:ascii="Times New Roman" w:hAnsi="Times New Roman"/>
          <w:b w:val="false"/>
          <w:i w:val="false"/>
          <w:color w:val="000000"/>
          <w:sz w:val="24"/>
        </w:rPr>
        <w:t>Day habilitation shall take place in community-based, nonresidential settings separate from the member’s residence. Family training may be provided in the member’s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Duration. </w:t>
      </w:r>
      <w:r>
        <w:rPr>
          <w:rFonts w:ascii="Times New Roman" w:hAnsi="Times New Roman"/>
          <w:b w:val="false"/>
          <w:i w:val="false"/>
          <w:color w:val="000000"/>
          <w:sz w:val="24"/>
        </w:rPr>
        <w:t>Day habilitation services shall be furnished as specified in the member’s comprehensive service plan. Meals provided as part of day habilitation shall not constitute a full nutritional regimen (three meals per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Unit of service. </w:t>
      </w:r>
      <w:r>
        <w:rPr>
          <w:rFonts w:ascii="Times New Roman" w:hAnsi="Times New Roman"/>
          <w:b w:val="false"/>
          <w:i w:val="false"/>
          <w:color w:val="000000"/>
          <w:sz w:val="24"/>
        </w:rPr>
        <w:t>A unit of day habilitation is 15 minutes (up to 16 units per day) or a full day (4.25 to 8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Concurrent services. </w:t>
      </w:r>
      <w:r>
        <w:rPr>
          <w:rFonts w:ascii="Times New Roman" w:hAnsi="Times New Roman"/>
          <w:b w:val="false"/>
          <w:i w:val="false"/>
          <w:color w:val="000000"/>
          <w:sz w:val="24"/>
        </w:rPr>
        <w:t>A member’s comprehensive service plan may include two or more types of nonresidential habilitation services (e.g., day habilitation, individual supported employment, long-term job coaching, small-group supported employment, and prevocational services). However, more than one service may not be billed during the same period of time (e.g., the same hour).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Transportation. </w:t>
      </w:r>
      <w:r>
        <w:rPr>
          <w:rFonts w:ascii="Times New Roman" w:hAnsi="Times New Roman"/>
          <w:b w:val="false"/>
          <w:i w:val="false"/>
          <w:color w:val="000000"/>
          <w:sz w:val="24"/>
        </w:rPr>
        <w:t>When transportation is provided to the day habilitation service location from the member’s home and from the day habilitation service location to the member’s home, the day habilitation provider may bill for the time spent transporting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Exclusions. </w:t>
      </w:r>
      <w:r>
        <w:rPr>
          <w:rFonts w:ascii="Times New Roman" w:hAnsi="Times New Roman"/>
          <w:b w:val="false"/>
          <w:i w:val="false"/>
          <w:color w:val="000000"/>
          <w:sz w:val="24"/>
        </w:rPr>
        <w:t>Day habilitation payment will not be made for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Services that are available to the individual under a program funded under </w:t>
      </w:r>
      <w:r>
        <w:rPr>
          <w:rFonts w:ascii="Times New Roman" w:hAnsi="Times New Roman"/>
          <w:b w:val="false"/>
          <w:i w:val="false"/>
          <w:color w:val="000000"/>
          <w:sz w:val="24"/>
        </w:rPr>
        <w:t>Section 110 of the Rehabilitation Act of 1973</w:t>
      </w:r>
      <w:r>
        <w:rPr>
          <w:rFonts w:ascii="Times New Roman" w:hAnsi="Times New Roman"/>
          <w:b w:val="false"/>
          <w:i w:val="false"/>
          <w:color w:val="000000"/>
          <w:sz w:val="24"/>
        </w:rPr>
        <w:t xml:space="preserve"> or the Individuals with Disabilities Education Act (</w:t>
      </w:r>
      <w:r>
        <w:rPr>
          <w:rFonts w:ascii="Times New Roman" w:hAnsi="Times New Roman"/>
          <w:b w:val="false"/>
          <w:i w:val="false"/>
          <w:color w:val="000000"/>
          <w:sz w:val="24"/>
        </w:rPr>
        <w:t>20 U.S.C. 1401 et seq.</w:t>
      </w:r>
      <w:r>
        <w:rPr>
          <w:rFonts w:ascii="Times New Roman" w:hAnsi="Times New Roman"/>
          <w:b w:val="false"/>
          <w:i w:val="false"/>
          <w:color w:val="000000"/>
          <w:sz w:val="24"/>
        </w:rPr>
        <w:t xml:space="preserve"> as amended to July 1, 2026). Documentation that funding is not available to the individual for the service under these programs shall be maintained in the service plan of each member receiving day habilitation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Compensation to members for participating in day habilitation.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Support for members volunteering in for-profit organizations and businesses.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Support for members volunteering to benefit the day habilitation service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78.27(9)</w:t>
      </w:r>
      <w:r>
        <w:rPr>
          <w:rFonts w:ascii="Times New Roman" w:hAnsi="Times New Roman"/>
          <w:b w:val="false"/>
          <w:i w:val="false"/>
          <w:color w:val="000000"/>
          <w:sz w:val="24"/>
        </w:rPr>
        <w:t> </w:t>
      </w:r>
      <w:r>
        <w:rPr>
          <w:rFonts w:ascii="Times New Roman" w:hAnsi="Times New Roman"/>
          <w:b w:val="false"/>
          <w:i/>
          <w:color w:val="000000"/>
          <w:sz w:val="24"/>
        </w:rPr>
        <w:t xml:space="preserve">Prevocational service habilitation. </w:t>
      </w:r>
      <w:r>
        <w:rPr>
          <w:rFonts w:ascii="Times New Roman" w:hAnsi="Times New Roman"/>
          <w:b w:val="false"/>
          <w:i w:val="false"/>
          <w:color w:val="000000"/>
          <w:sz w:val="24"/>
        </w:rPr>
        <w:t>“Prevocational services” means services that provide career exploration, learning and work experiences, including volunteer opportunities, where the member can develop non-job-task-specific strengths and skills that lead to paid employment in individual community settings.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Scope. </w:t>
      </w:r>
      <w:r>
        <w:rPr>
          <w:rFonts w:ascii="Times New Roman" w:hAnsi="Times New Roman"/>
          <w:b w:val="false"/>
          <w:i w:val="false"/>
          <w:color w:val="000000"/>
          <w:sz w:val="24"/>
        </w:rPr>
        <w:t>Prevocational services are provided to persons who are expected to be able to join the general workforce with the assistance of supported employment. Prevocational services are intended to develop and teach general employability skills relevant to successful participation in individual employment. These skills include but are not limited to the ability to communicate effectively with supervisors, coworkers and customers; an understanding of generally accepted community workplace conduct and dress; the ability to follow directions; the ability to attend to tasks; workplace problem-solving skills and strategies; general workplace safety and mobility training; the ability to navigate local transportation options; financial literacy skills; and skills related to obtaining employment.</w:t>
      </w:r>
    </w:p>
    <w:p>
      <w:pPr>
        <w:spacing w:before="0" w:after="0" w:line="480"/>
        <w:ind w:left="120"/>
        <w:jc w:val="both"/>
      </w:pPr>
      <w:r>
        <w:rPr>
          <w:rFonts w:ascii="Times New Roman" w:hAnsi="Times New Roman"/>
          <w:b w:val="false"/>
          <w:i w:val="false"/>
          <w:color w:val="000000"/>
          <w:sz w:val="24"/>
        </w:rPr>
        <w:t>Prevocational services include career exploration activities to facilitate successful transition to individual employment in the community. Participation in prevocational services is not a prerequisite for individual or small-group supported employment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Career exploration. Career exploration activities are designed to develop an individual career plan and facilitate the member’s experientially based informed choice regarding the goal of individual employment. Career exploration may be provided in small groups of no more than four members to participate in career exploration activities that include business tours, attending industry education events, benefit information, financial literacy classes, and attending career fairs. Career exploration may be authorized for up to 34 hours, to be completed over 90 days in the member’s local community or nearby communities and may include but is not limited to the following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Meeting with the member and the member’s family, guardian or legal representative to introduce them to supported employment and explore the member’s employment goals and experiences,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Business tours,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Informational interviews,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Job shadows,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Benefits education and financial literacy,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Assistive technology assessment,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Job exploration events.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Expected outcome of service.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expected outcome of prevocational services is individual employment in the general workforce, or self-employment, in a setting typically found in the community, where the member interacts with individuals without disabilities, other than those providing services to the member or other individuals with disabilities, to the same extent that individuals without disabilities in comparable positions interact with other persons; and for which the member is compensated at or above the minimum wage, but not less than the customary wage and level of benefits paid by the employer for the same or similar work performed by individuals without disabilities.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expected outcome of the career exploration activity is a written career plan that will guide employment services that lead to community employment or self-employment for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Setting. </w:t>
      </w:r>
      <w:r>
        <w:rPr>
          <w:rFonts w:ascii="Times New Roman" w:hAnsi="Times New Roman"/>
          <w:b w:val="false"/>
          <w:i w:val="false"/>
          <w:color w:val="000000"/>
          <w:sz w:val="24"/>
        </w:rPr>
        <w:t>Prevocational services shall take place in community-based nonresidential settings.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Concurrent services. </w:t>
      </w:r>
      <w:r>
        <w:rPr>
          <w:rFonts w:ascii="Times New Roman" w:hAnsi="Times New Roman"/>
          <w:b w:val="false"/>
          <w:i w:val="false"/>
          <w:color w:val="000000"/>
          <w:sz w:val="24"/>
        </w:rPr>
        <w:t>A member’s individual service plan may include two or more types of nonresidential habilitation services (e.g., individual supported employment, long-term job coaching, small-group supported employment, prevocational services, and day habilitation); however, more than one service may not be billed during the same period of time (e.g., the same hour).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Exclusions. </w:t>
      </w:r>
      <w:r>
        <w:rPr>
          <w:rFonts w:ascii="Times New Roman" w:hAnsi="Times New Roman"/>
          <w:b w:val="false"/>
          <w:i w:val="false"/>
          <w:color w:val="000000"/>
          <w:sz w:val="24"/>
        </w:rPr>
        <w:t>Prevocational services payment shall not be made for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Services that are available to the individual under a program funded under </w:t>
      </w:r>
      <w:r>
        <w:rPr>
          <w:rFonts w:ascii="Times New Roman" w:hAnsi="Times New Roman"/>
          <w:b w:val="false"/>
          <w:i w:val="false"/>
          <w:color w:val="000000"/>
          <w:sz w:val="24"/>
        </w:rPr>
        <w:t>Section 110 of the Rehabilitation Act of 1973</w:t>
      </w:r>
      <w:r>
        <w:rPr>
          <w:rFonts w:ascii="Times New Roman" w:hAnsi="Times New Roman"/>
          <w:b w:val="false"/>
          <w:i w:val="false"/>
          <w:color w:val="000000"/>
          <w:sz w:val="24"/>
        </w:rPr>
        <w:t xml:space="preserve"> or the Individuals with Disabilities Education Act (</w:t>
      </w:r>
      <w:r>
        <w:rPr>
          <w:rFonts w:ascii="Times New Roman" w:hAnsi="Times New Roman"/>
          <w:b w:val="false"/>
          <w:i w:val="false"/>
          <w:color w:val="000000"/>
          <w:sz w:val="24"/>
        </w:rPr>
        <w:t>20 U.S.C. 1401 et seq.</w:t>
      </w:r>
      <w:r>
        <w:rPr>
          <w:rFonts w:ascii="Times New Roman" w:hAnsi="Times New Roman"/>
          <w:b w:val="false"/>
          <w:i w:val="false"/>
          <w:color w:val="000000"/>
          <w:sz w:val="24"/>
        </w:rPr>
        <w:t xml:space="preserve"> as amended to July 1, 2026). Documentation that funding is not available to the individual for the service under these programs shall be maintained in the service plan of each member receiving prevocational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Services available to the individual that duplicate or replace education or related services defined in the Individuals with Disabilities Education Act (</w:t>
      </w:r>
      <w:r>
        <w:rPr>
          <w:rFonts w:ascii="Times New Roman" w:hAnsi="Times New Roman"/>
          <w:b w:val="false"/>
          <w:i w:val="false"/>
          <w:color w:val="000000"/>
          <w:sz w:val="24"/>
        </w:rPr>
        <w:t>20 U.S.C. 1401 et seq.</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Compensation to members for participating in prevocational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Support for members volunteering in for-profit organizations and businesses other than for-profit organizations, or businesses that have formal volunteer programs in place (e.g., hospitals, nursing homes), and support for members volunteering to benefit the service provider.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provision of vocational services delivered in facility-based settings where individuals are supervised for the primary purpose of producing goods or performing services or where services are aimed at teaching skills for specific types of jobs rather than general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 prevocational service plan with the goal or purpose of the service documented as maintaining or supporting the individual in continuing prevocational services or any employment situation similar to sheltered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Limitations.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Time limitation for members starting prevocational services. For members starting prevocational services, participation in these services is limited to 24 calendar months. This time limit can be extended to continue beyond 24 months if one or more of the following conditions apply: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member who is in prevocational services is also working in either individual or small-group community employment for at least the number of hours per week desired by the member, as identified in the member’s current service plan;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member who is in prevocational services is also working in either individual or small-group community employment for less than the number of hours per week the member desires, as identified in the member’s current service plan, but the member has services documented in the member’s current service plan, or through another identifiable funding source (e.g., Iowa vocational rehabilitation services (IVRS)), to increase the number of hours the member is working in either individual or small-group community employment;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member is actively engaged in seeking individual or small-group community employment or individual self-employment, and services for this are included in the member’s current service plan or services funded through another identifiable funding source (e.g., IVRS) are documented in the member’s service plan;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member has requested supported employment services from Medicaid and IVRS in the past 24 months, and the member’s request has been denied or the member has been placed on a waiting list by both Medicaid and IVRS;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member has been receiving individual supported employment services (or comparable services available through IVRS) for at least 18 months without obtaining individual or small-group community employment or individual self-employment;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The member is participating in career exploration activities as described in subparagraph </w:t>
      </w:r>
      <w:hyperlink r:id="rId190">
        <w:r>
          <w:rPr>
            <w:rStyle w:val="Hyperlink"/>
            <w:rFonts w:ascii="Times New Roman" w:hAnsi="Times New Roman"/>
            <w:b w:val="false"/>
            <w:i w:val="false"/>
            <w:color w:val="000000"/>
            <w:sz w:val="24"/>
          </w:rPr>
          <w:t>78.27(9)</w:t>
        </w:r>
        <w:r>
          <w:rPr>
            <w:rFonts w:ascii="Times New Roman" w:hAnsi="Times New Roman"/>
            <w:b w:val="false"/>
            <w:i/>
            <w:color w:val="000000"/>
            <w:sz w:val="24"/>
          </w:rPr>
          <w:t>“a”</w:t>
        </w:r>
        <w:r>
          <w:rPr>
            <w:rFonts w:ascii="Times New Roman" w:hAnsi="Times New Roman"/>
            <w:b w:val="false"/>
            <w:i w:val="false"/>
            <w:color w:val="000000"/>
            <w:sz w:val="24"/>
          </w:rPr>
          <w:t>(1)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Time limitation for members enrolled in prevocational services. For members enrolled in prevocational services, participation in these services is limited to 90 business days beyond the completion of the career exploration activity including the development of the career plan described in subparagraph </w:t>
      </w:r>
      <w:hyperlink r:id="rId191">
        <w:r>
          <w:rPr>
            <w:rStyle w:val="Hyperlink"/>
            <w:rFonts w:ascii="Times New Roman" w:hAnsi="Times New Roman"/>
            <w:b w:val="false"/>
            <w:i w:val="false"/>
            <w:color w:val="000000"/>
            <w:sz w:val="24"/>
          </w:rPr>
          <w:t>78.27(9)</w:t>
        </w:r>
        <w:r>
          <w:rPr>
            <w:rFonts w:ascii="Times New Roman" w:hAnsi="Times New Roman"/>
            <w:b w:val="false"/>
            <w:i/>
            <w:color w:val="000000"/>
            <w:sz w:val="24"/>
          </w:rPr>
          <w:t>“a”</w:t>
        </w:r>
        <w:r>
          <w:rPr>
            <w:rFonts w:ascii="Times New Roman" w:hAnsi="Times New Roman"/>
            <w:b w:val="false"/>
            <w:i w:val="false"/>
            <w:color w:val="000000"/>
            <w:sz w:val="24"/>
          </w:rPr>
          <w:t>(1)</w:t>
        </w:r>
      </w:hyperlink>
      <w:r>
        <w:rPr>
          <w:rFonts w:ascii="Times New Roman" w:hAnsi="Times New Roman"/>
          <w:b w:val="false"/>
          <w:i w:val="false"/>
          <w:color w:val="000000"/>
          <w:sz w:val="24"/>
        </w:rPr>
        <w:t xml:space="preserve">. This time limit can be extended as stated in numbered paragraphs </w:t>
      </w:r>
      <w:hyperlink r:id="rId192">
        <w:r>
          <w:rPr>
            <w:rStyle w:val="Hyperlink"/>
            <w:rFonts w:ascii="Times New Roman" w:hAnsi="Times New Roman"/>
            <w:b w:val="false"/>
            <w:i w:val="false"/>
            <w:color w:val="000000"/>
            <w:sz w:val="24"/>
          </w:rPr>
          <w:t>78.27(9)</w:t>
        </w:r>
        <w:r>
          <w:rPr>
            <w:rFonts w:ascii="Times New Roman" w:hAnsi="Times New Roman"/>
            <w:b w:val="false"/>
            <w:i/>
            <w:color w:val="000000"/>
            <w:sz w:val="24"/>
          </w:rPr>
          <w:t>“e”</w:t>
        </w:r>
      </w:hyperlink>
      <w:r>
        <w:rPr>
          <w:rFonts w:ascii="Times New Roman" w:hAnsi="Times New Roman"/>
          <w:b w:val="false"/>
          <w:i w:val="false"/>
          <w:color w:val="000000"/>
          <w:sz w:val="24"/>
        </w:rPr>
        <w:t xml:space="preserve">(1)“1” through “6.” If the criteria in numbered paragraphs </w:t>
      </w:r>
      <w:hyperlink r:id="rId193">
        <w:r>
          <w:rPr>
            <w:rStyle w:val="Hyperlink"/>
            <w:rFonts w:ascii="Times New Roman" w:hAnsi="Times New Roman"/>
            <w:b w:val="false"/>
            <w:i w:val="false"/>
            <w:color w:val="000000"/>
            <w:sz w:val="24"/>
          </w:rPr>
          <w:t>78.27(9)</w:t>
        </w:r>
        <w:r>
          <w:rPr>
            <w:rFonts w:ascii="Times New Roman" w:hAnsi="Times New Roman"/>
            <w:b w:val="false"/>
            <w:i/>
            <w:color w:val="000000"/>
            <w:sz w:val="24"/>
          </w:rPr>
          <w:t>“e”</w:t>
        </w:r>
      </w:hyperlink>
      <w:r>
        <w:rPr>
          <w:rFonts w:ascii="Times New Roman" w:hAnsi="Times New Roman"/>
          <w:b w:val="false"/>
          <w:i w:val="false"/>
          <w:color w:val="000000"/>
          <w:sz w:val="24"/>
        </w:rPr>
        <w:t xml:space="preserve">(1)“1” through “6” do not apply, the member will not be reauthorized to continue prevocational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78.27(10)</w:t>
      </w:r>
      <w:r>
        <w:rPr>
          <w:rFonts w:ascii="Times New Roman" w:hAnsi="Times New Roman"/>
          <w:b w:val="false"/>
          <w:i w:val="false"/>
          <w:color w:val="000000"/>
          <w:sz w:val="24"/>
        </w:rPr>
        <w:t> </w:t>
      </w:r>
      <w:r>
        <w:rPr>
          <w:rFonts w:ascii="Times New Roman" w:hAnsi="Times New Roman"/>
          <w:b w:val="false"/>
          <w:i/>
          <w:color w:val="000000"/>
          <w:sz w:val="24"/>
        </w:rPr>
        <w:t xml:space="preserve">Supported employment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Individual supported employment. </w:t>
      </w:r>
      <w:r>
        <w:rPr>
          <w:rFonts w:ascii="Times New Roman" w:hAnsi="Times New Roman"/>
          <w:b w:val="false"/>
          <w:i w:val="false"/>
          <w:color w:val="000000"/>
          <w:sz w:val="24"/>
        </w:rPr>
        <w:t xml:space="preserve">Individual supported employment involves supports provided to, or on behalf of, the member that enable the member to obtain and maintain individual employment. Services are provided to members who need support because of their disabilities.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Scope. Individual supported employment services are services provided to, or on behalf of, the member that enable the member to obtain and maintain an individual job in competitive employment, customized employment or self-employment in an integrated work setting in the general workforce.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Expected outcome of service. The expected outcome of this service is sustained employment, or self-employment, paid at or above the minimum wage or the customary wage and level of benefits paid by an employer, in an integrated setting in the general workforce, in a job that meets personal and career goals. Successful transition to long-term job coaching, if needed, is also an expected outcome of this service. An expected outcome of supported self-employment is that the member earns income that is equal to or exceeds the average income for the chosen business within a reasonable period of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Setting. Individual supported employment services shall take place in integrated work settings. For self-employment, the member’s home can be considered an integrated work setting. Employment in the service provider’s organization (not including a sheltered workshop or similar type of work setting where members are paid for the production of goods or services) can be considered employment in an integrated work setting in the general workforce if the employment occurs in a work setting where interactions are predominantly with coworkers or business associates who do not have disabilities or with the general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Individual employment strategies include but are not limited to customized employment, individual placement and support, and supported self-employment. Service activities are individualized and may include any combination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Benefits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Career exploration (e.g., tours, informational interviews, job shadows).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Employment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Assistive technology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Trial work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Person-centered employment planning.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Development of visual/traditional résumés.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Job-seeking skills training and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Outreach to prospective employers on behalf of the member (e.g., job development; negotiation with prospective employers to customize, create or carve out a position for the member; employer needs analysis).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Job analysis (e.g., work site assessment or job accommodations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Identifying and arranging transportation.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Career advancement services (e.g., assisting a member in making an upward career move or seeking promotion from an existing employer).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Reemployment services (if necessary due to job loss).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Financial literacy and asset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Other employment support services deemed necessary to enable the member to obtain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Systematic instruction and support during initial on-the-job training including initial on-the-job training to stabilization.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17.</w:t>
      </w:r>
      <w:r>
        <w:rPr>
          <w:rFonts w:ascii="Times New Roman" w:hAnsi="Times New Roman"/>
          <w:b w:val="false"/>
          <w:i w:val="false"/>
          <w:color w:val="000000"/>
          <w:sz w:val="24"/>
        </w:rPr>
        <w:t>  </w:t>
      </w:r>
      <w:r>
        <w:rPr>
          <w:rFonts w:ascii="Times New Roman" w:hAnsi="Times New Roman"/>
          <w:b w:val="false"/>
          <w:i w:val="false"/>
          <w:color w:val="000000"/>
          <w:sz w:val="24"/>
        </w:rPr>
        <w:t>Engagement of natural supports during initial period of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18.</w:t>
      </w:r>
      <w:r>
        <w:rPr>
          <w:rFonts w:ascii="Times New Roman" w:hAnsi="Times New Roman"/>
          <w:b w:val="false"/>
          <w:i w:val="false"/>
          <w:color w:val="000000"/>
          <w:sz w:val="24"/>
        </w:rPr>
        <w:t>  </w:t>
      </w:r>
      <w:r>
        <w:rPr>
          <w:rFonts w:ascii="Times New Roman" w:hAnsi="Times New Roman"/>
          <w:b w:val="false"/>
          <w:i w:val="false"/>
          <w:color w:val="000000"/>
          <w:sz w:val="24"/>
        </w:rPr>
        <w:t>Implementation of assistive technology solutions during initial period of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19.</w:t>
      </w:r>
      <w:r>
        <w:rPr>
          <w:rFonts w:ascii="Times New Roman" w:hAnsi="Times New Roman"/>
          <w:b w:val="false"/>
          <w:i w:val="false"/>
          <w:color w:val="000000"/>
          <w:sz w:val="24"/>
        </w:rPr>
        <w:t>  </w:t>
      </w:r>
      <w:r>
        <w:rPr>
          <w:rFonts w:ascii="Times New Roman" w:hAnsi="Times New Roman"/>
          <w:b w:val="false"/>
          <w:i w:val="false"/>
          <w:color w:val="000000"/>
          <w:sz w:val="24"/>
        </w:rPr>
        <w:t>Transportation of the member during service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20.</w:t>
      </w:r>
      <w:r>
        <w:rPr>
          <w:rFonts w:ascii="Times New Roman" w:hAnsi="Times New Roman"/>
          <w:b w:val="false"/>
          <w:i w:val="false"/>
          <w:color w:val="000000"/>
          <w:sz w:val="24"/>
        </w:rPr>
        <w:t>  </w:t>
      </w:r>
      <w:r>
        <w:rPr>
          <w:rFonts w:ascii="Times New Roman" w:hAnsi="Times New Roman"/>
          <w:b w:val="false"/>
          <w:i w:val="false"/>
          <w:color w:val="000000"/>
          <w:sz w:val="24"/>
        </w:rPr>
        <w:t>Initial on-the-job training to stabilization activity.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Self-employment. Individual employment may also include support to establish a viable self-employment opportunity, including home-based self-employment. An expected outcome of supported self-employment is that the member earns income that is equal to or exceeds the average income for the chosen business within a reasonable period of time. In addition to the activities listed under subparagraph </w:t>
      </w:r>
      <w:hyperlink r:id="rId194">
        <w:r>
          <w:rPr>
            <w:rStyle w:val="Hyperlink"/>
            <w:rFonts w:ascii="Times New Roman" w:hAnsi="Times New Roman"/>
            <w:b w:val="false"/>
            <w:i w:val="false"/>
            <w:color w:val="000000"/>
            <w:sz w:val="24"/>
          </w:rPr>
          <w:t>78.27(10)</w:t>
        </w:r>
        <w:r>
          <w:rPr>
            <w:rFonts w:ascii="Times New Roman" w:hAnsi="Times New Roman"/>
            <w:b w:val="false"/>
            <w:i/>
            <w:color w:val="000000"/>
            <w:sz w:val="24"/>
          </w:rPr>
          <w:t>“a”</w:t>
        </w:r>
        <w:r>
          <w:rPr>
            <w:rFonts w:ascii="Times New Roman" w:hAnsi="Times New Roman"/>
            <w:b w:val="false"/>
            <w:i w:val="false"/>
            <w:color w:val="000000"/>
            <w:sz w:val="24"/>
          </w:rPr>
          <w:t>(4)</w:t>
        </w:r>
      </w:hyperlink>
      <w:r>
        <w:rPr>
          <w:rFonts w:ascii="Times New Roman" w:hAnsi="Times New Roman"/>
          <w:b w:val="false"/>
          <w:i w:val="false"/>
          <w:color w:val="000000"/>
          <w:sz w:val="24"/>
        </w:rPr>
        <w:t>, assistance to establish self-employment may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Aid to the member in identifying potential business opportunities.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Assistance in the development of a business plan, including identifying potential sources of business financing and other assistance in developing and launching a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Identification of the long-term supports necessary for the individual to operate the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Long-term job coaching. </w:t>
      </w:r>
      <w:r>
        <w:rPr>
          <w:rFonts w:ascii="Times New Roman" w:hAnsi="Times New Roman"/>
          <w:b w:val="false"/>
          <w:i w:val="false"/>
          <w:color w:val="000000"/>
          <w:sz w:val="24"/>
        </w:rPr>
        <w:t xml:space="preserve">Long-term job coaching is support provided to, or on behalf of, the member that enables the member to maintain an individual job in competitive employment, customized employment or self-employment in an integrated work setting in the general workforce.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Scope. Long-term job coaching services are provided to or on behalf of members who need support because of their disabilities and who are unlikely to maintain and advance in individual employment absent the provision of supports. Long-term job coaching services shall provide individualized and ongoing support contacts at intervals necessary to promote successful job retention and advancement.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Expected outcome of service. The expected outcome of this service is sustained employment paid at or above the minimum wage in an integrated setting in the general workforce, in a job that meets the member’s personal and career goals. An expected outcome of supported self-employment is that the member earns income that is equal to or exceeds the average income for the chosen business within a reasonable period of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Setting. Long-term job coaching services shall take place in integrated work settings. For self-employment, the member’s home can be considered an integrated work setting. Employment in the service provider’s organization (not including a sheltered workshop or similar type of work setting) can be considered employment in an integrated work setting in the general workforce if the employment occurs in a work setting where interactions are predominantly with coworkers or business associates who do not have disabilities, or with the general public, and if the position would exist within the provider’s organization were the provider not being paid to provide the job coaching to the member.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Service activities. Long-term job coaching services are designed to assist the member with learning and retaining individual employment, resulting in workplace integration, which allows the reduction of long-term job coaching over time. Services are individualized, and service plans are adjusted as support needs change and may include any combination of the following activities with or on behalf of the member: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Job analysis.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Job training and systematic instruction.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Training and support for use of assistive technology/adaptive aids.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Engagement of natural supports.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Transportation coordination.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Job retention training and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Benefits education and ongoing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Supports for career advancement.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Financial literacy and asset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Employer consultation and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Negotiation with employer on behalf of the member (e.g., accommodations; employment conditions; access to natural supports; and wage and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Other workplace support services may include services not specifically related to job skill training that enable the waiver member to be successful in integrating into the job setting.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Transportation of the member during service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Career exploration services leading to increased hours or career advancement.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Self-employment long-term job coaching. Self-employment long-term job coaching may include support to maintain a self-employment opportunity, including home-based self-employment. In addition to the activities listed under subparagraph </w:t>
      </w:r>
      <w:hyperlink r:id="rId195">
        <w:r>
          <w:rPr>
            <w:rStyle w:val="Hyperlink"/>
            <w:rFonts w:ascii="Times New Roman" w:hAnsi="Times New Roman"/>
            <w:b w:val="false"/>
            <w:i w:val="false"/>
            <w:color w:val="000000"/>
            <w:sz w:val="24"/>
          </w:rPr>
          <w:t>78.27(10)</w:t>
        </w:r>
        <w:r>
          <w:rPr>
            <w:rFonts w:ascii="Times New Roman" w:hAnsi="Times New Roman"/>
            <w:b w:val="false"/>
            <w:i/>
            <w:color w:val="000000"/>
            <w:sz w:val="24"/>
          </w:rPr>
          <w:t>“b”</w:t>
        </w:r>
        <w:r>
          <w:rPr>
            <w:rFonts w:ascii="Times New Roman" w:hAnsi="Times New Roman"/>
            <w:b w:val="false"/>
            <w:i w:val="false"/>
            <w:color w:val="000000"/>
            <w:sz w:val="24"/>
          </w:rPr>
          <w:t>(4)</w:t>
        </w:r>
      </w:hyperlink>
      <w:r>
        <w:rPr>
          <w:rFonts w:ascii="Times New Roman" w:hAnsi="Times New Roman"/>
          <w:b w:val="false"/>
          <w:i w:val="false"/>
          <w:color w:val="000000"/>
          <w:sz w:val="24"/>
        </w:rPr>
        <w:t xml:space="preserve">, assistance to maintain self-employment may include: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Ongoing identification of the supports necessary for the individual to operate the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Ongoing assistance, counseling and guidance to maintain and grow the business;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Ongoing benefits education and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hours of support for long-term job coaching are based on the identified needs of the member as documented in the member’s comprehensive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Small-group supported employment. </w:t>
      </w:r>
      <w:r>
        <w:rPr>
          <w:rFonts w:ascii="Times New Roman" w:hAnsi="Times New Roman"/>
          <w:b w:val="false"/>
          <w:i w:val="false"/>
          <w:color w:val="000000"/>
          <w:sz w:val="24"/>
        </w:rPr>
        <w:t>Small-group supported employment services are training and support activities provided in regular business or industry settings for groups of two to eight workers with disabilities. The outcome of this service is sustained paid employment experience, skill development, career exploration and planning leading to referral for services to obtain individual integrated employment or self-employment for which an individual is compensated at or above the minimum wage, but not less than the customary wage and level of benefits paid by the employer for the same or similar work performed by individuals without disabilities.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Scope. Small-group supported employment services must be provided in a manner that promotes integration into the workplace and interaction between members and people without disabilities (e.g., customers, coworkers, natural supports) in those workplaces. Examples include but are not limited to mobile crews and other business-based workgroups employing small groups of workers with disabilities in employment in integrated business settings; and small-group activities focused on career exploration and development of strengths and skills that contribute to successful participation in individual community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Expected outcome of service. Small-group supported employment services are expected to enable the member to make reasonable and continued progress toward individual employment. Participation in small-group supported employment services is not a prerequisite for individual supported employment services. The expected outcome of the service is sustained paid employment and skill development that leads to individual employment in the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Setting. Small-group supported employment services shall take place in integrated, community-based nonresidential settings separate from the member’s residence.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Service activities. Small-group supported employment services may include any combination of the following activities: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Employment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Person-centered employment planning.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Job placement (limited to service necessary to facilitate hire into individual employment paid at minimum wage or higher for a member in small-group supported employment who receives an otherwise unsolicited offer of a job from a business where the member has been working in a mobile crew or enclave).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Job analysis.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On-the-job training and systematic instruction.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Job coaching.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Transportation planning and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Benefits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Career exploration services leading to career advancement outcomes.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Other workplace support services may include services not specifically related to job skill training that enable the waiver member to be successful in integrating into the individual or community setting.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Transportation of the member during service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Individual placement and support (IPS).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IPS shall include the following activities, which shall be described and documented in the member’s employment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Development of the career profile, including previous work experience, goals, preferences, strengths, barriers, skills, disclosure preferences, career advancement, education and plan for graduation.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Integration of IPS team members and the behavioral health team, including routine staffing meetings regarding IPS clients.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Addressing barriers to employment, which may be actual or perceived. Support may include addressing justice system involvement, a lack of work history, limited housing, child care, and transportation.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Rapid job search and systematic job development. Community and employment supports (CESs) help members seek jobs directly and do not provide extensive preemployment assessment and training or intermediate work experiences. The job process begins within 30 days of starting IPS services. This rapid job search is supported by CESs developing relationships with employers through multiple face-to-face meetings. CESs take time to learn about the employers’ needs and the work environment while gathering information about job opportunities that might be a good fit for individuals they are working with.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Disclosure counseling, to assist the member in making an informed decision on disclosure of a disability to a prospective or current employer.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Identification and implementation of job accommodations and assistive technology supports.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Ongoing benefits counseling. The member must receive information on available work incentive programs, or referral to professional benefits counselors for a personalized work incentives plan for any state or federal entitlement.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Time-unlimited follow-along supports. These supports are planned for early in the employment process, are personalized, and follow the member for as long as the member needs support. The focus is supporting the member in becoming as independent as possible and involving family members, co-workers, and other natural supports. These supports can be provided on or off the job site and focus on the continued acquisition and development of skills needed to maintain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Units of service. Reimbursement is made for each outcome achieved for the member participating in the IPS supported employment model. Outcomes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Outcome #1: Completed employment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Outcome #2: First day of successful job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Outcome #3: 45 days successful job retention.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Outcome #4: 90 days successful job retention.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Service requirements for all supported employment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Community transportation options (e.g., transportation provided by family, coworkers, carpools, volunteers, self or public transportation) shall be identified by the member’s interdisciplinary team and utilized before the service provider provides the transportation to and from work for the member. If none of these options are available to a member, transportation between the member’s place of residence and the employment or service location may be included as a component part of supported employment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Personal care or personal assistance and protective oversight may be a component part of supported employment services, but may not comprise the entirety of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Activities performed on behalf of a member receiving long-term job coaching or individual or small-group supported employment shall not comprise the entirety of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Concurrent services. A member’s individual service plan may include two or more types of nonresidential services (e.g., individual supported employment, long-term job coaching, small-group supported employment, prevocational services, and day habilitation); however, more than one service may not be billed during the same period of time (e.g., the same hour).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Integration requirements. In the performance of job duties, the member shall have regular contact with other employees or members of the general public who do not have disabilities, unless the absence of regular contact with other employees or the general public is typical for the job as performed by persons without disabilities.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Compensation. Members receiving these services are compensated at or above the minimum wage, but not less than the customary wage and level of benefits paid by the employer for the same or similar work performed by individuals without disabilities. For supported self-employment, the member earns income that is equal to or exceeds the average income for the chosen business within a reasonable period of time. For small-group supported employment, if the member is not compensated at or above minimum wage, the compensation to the member shall be in accordance with all applicable state and federal labor laws and regulations.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Limitations. </w:t>
      </w:r>
      <w:r>
        <w:rPr>
          <w:rFonts w:ascii="Times New Roman" w:hAnsi="Times New Roman"/>
          <w:b w:val="false"/>
          <w:i w:val="false"/>
          <w:color w:val="000000"/>
          <w:sz w:val="24"/>
        </w:rPr>
        <w:t>Supported employment services are limited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Total monthly costs of supported employment may not exceed the monthly cap on the cost of waiver services set for the individual waiver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 absence of a monthly cap on the cost of waiver services, the total monthly cost of all supported employment services may not exceed the cost limitations published on the Iowa Medicaid fee schedule webpage.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Individual supported employment is limited to 60 hourly units per calendar year.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Long-term job coaching is limited in accordance with </w:t>
      </w:r>
      <w:hyperlink r:id="rId196">
        <w:r>
          <w:rPr>
            <w:rStyle w:val="Hyperlink"/>
            <w:rFonts w:ascii="Times New Roman" w:hAnsi="Times New Roman"/>
            <w:b w:val="false"/>
            <w:i w:val="false"/>
            <w:color w:val="000000"/>
            <w:sz w:val="24"/>
          </w:rPr>
          <w:t>441—subrule 79.1(2)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Small-group supported employment is limited to 160 units per 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Exclusions. </w:t>
      </w:r>
      <w:r>
        <w:rPr>
          <w:rFonts w:ascii="Times New Roman" w:hAnsi="Times New Roman"/>
          <w:b w:val="false"/>
          <w:i w:val="false"/>
          <w:color w:val="000000"/>
          <w:sz w:val="24"/>
        </w:rPr>
        <w:t>Supported employment services payments will not be made for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Services that are available to the individual under a program funded under </w:t>
      </w:r>
      <w:r>
        <w:rPr>
          <w:rFonts w:ascii="Times New Roman" w:hAnsi="Times New Roman"/>
          <w:b w:val="false"/>
          <w:i w:val="false"/>
          <w:color w:val="000000"/>
          <w:sz w:val="24"/>
        </w:rPr>
        <w:t>Section 110 of the Rehabilitation Act of 1973</w:t>
      </w:r>
      <w:r>
        <w:rPr>
          <w:rFonts w:ascii="Times New Roman" w:hAnsi="Times New Roman"/>
          <w:b w:val="false"/>
          <w:i w:val="false"/>
          <w:color w:val="000000"/>
          <w:sz w:val="24"/>
        </w:rPr>
        <w:t xml:space="preserve"> or the Individuals with Disabilities Education Act (</w:t>
      </w:r>
      <w:r>
        <w:rPr>
          <w:rFonts w:ascii="Times New Roman" w:hAnsi="Times New Roman"/>
          <w:b w:val="false"/>
          <w:i w:val="false"/>
          <w:color w:val="000000"/>
          <w:sz w:val="24"/>
        </w:rPr>
        <w:t>20 U.S.C. 1401 et seq.</w:t>
      </w:r>
      <w:r>
        <w:rPr>
          <w:rFonts w:ascii="Times New Roman" w:hAnsi="Times New Roman"/>
          <w:b w:val="false"/>
          <w:i w:val="false"/>
          <w:color w:val="000000"/>
          <w:sz w:val="24"/>
        </w:rPr>
        <w:t xml:space="preserve"> as amended to July 1, 2026). Documentation that the service is not available to the individual under these programs shall be maintained in the service plan of each member receiving individual supported employment or long-term job coaching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Incentive payments, not including payments for coworker supports, made to an employer to encourage or subsidize the employer’s participation in a supported employment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Subsidies or payments that are passed through to users of supported employment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Training that is not directly related to a member’s supported employment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Services involved in placing and stabilizing members in day activity programs, work activity programs, sheltered workshop programs or other similar types of vocational or prevocational services furnished in specialized facilities that are not a part of the general workplace.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Supports for placement and stabilization in volunteer positions or unpaid internships. Such volunteer learning and unpaid training activities that prepare a person for entry into the general workforce are addressed through prevocational services and career exploration activities.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Tuition for education or vocational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 xml:space="preserve">Individual advocacy that is not related to integrated individual employment participation or is not member-specific.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Medicaid funds may not be used to defray the expenses associated with starting up or operating a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78.27(11)</w:t>
      </w:r>
      <w:r>
        <w:rPr>
          <w:rFonts w:ascii="Times New Roman" w:hAnsi="Times New Roman"/>
          <w:b w:val="false"/>
          <w:i w:val="false"/>
          <w:color w:val="000000"/>
          <w:sz w:val="24"/>
        </w:rPr>
        <w:t> </w:t>
      </w:r>
      <w:r>
        <w:rPr>
          <w:rFonts w:ascii="Times New Roman" w:hAnsi="Times New Roman"/>
          <w:b w:val="false"/>
          <w:i/>
          <w:color w:val="000000"/>
          <w:sz w:val="24"/>
        </w:rPr>
        <w:t xml:space="preserve">Adverse service actions.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Denial. </w:t>
      </w:r>
      <w:r>
        <w:rPr>
          <w:rFonts w:ascii="Times New Roman" w:hAnsi="Times New Roman"/>
          <w:b w:val="false"/>
          <w:i w:val="false"/>
          <w:color w:val="000000"/>
          <w:sz w:val="24"/>
        </w:rPr>
        <w:t>Services will be denied when the department determines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member is not eligible for or in need of home- and community-based habilitation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service is not identified in the member’s comprehensive service plan or treatment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Needed services are not available or received from qualifying providers, or no qualifying providers are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member’s service needs exceed the unit or reimbursement maximums for a service as set forth in </w:t>
      </w:r>
      <w:hyperlink r:id="rId197">
        <w:r>
          <w:rPr>
            <w:rStyle w:val="Hyperlink"/>
            <w:rFonts w:ascii="Times New Roman" w:hAnsi="Times New Roman"/>
            <w:b w:val="false"/>
            <w:i w:val="false"/>
            <w:color w:val="000000"/>
            <w:sz w:val="24"/>
          </w:rPr>
          <w:t>441—subrule 79.1(2)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Completion or receipt of required documents for the program has not occurred.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Reduction. </w:t>
      </w:r>
      <w:r>
        <w:rPr>
          <w:rFonts w:ascii="Times New Roman" w:hAnsi="Times New Roman"/>
          <w:b w:val="false"/>
          <w:i w:val="false"/>
          <w:color w:val="000000"/>
          <w:sz w:val="24"/>
        </w:rPr>
        <w:t>A particular home- and community-based habilitation service may be reduced when the department determines that continued provision of service at its current level is not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Termination. </w:t>
      </w:r>
      <w:r>
        <w:rPr>
          <w:rFonts w:ascii="Times New Roman" w:hAnsi="Times New Roman"/>
          <w:b w:val="false"/>
          <w:i w:val="false"/>
          <w:color w:val="000000"/>
          <w:sz w:val="24"/>
        </w:rPr>
        <w:t>A particular home- and community-based habilitation service may be terminated when the department determines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member’s income exceeds the allowable limit, or the member no longer meets other eligibility criteria for the program established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service is not identified in the member’s comprehensive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Needed services are not available or received from qualifying providers, or no qualifying providers are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member’s service needs are not being met by the services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The member has received care in a medical institution for 120 consecutive days in any one stay. When a member has been an inpatient in a medical institution for 120 consecutive days, the department will issue a notice of decision pursuant to </w:t>
      </w:r>
      <w:hyperlink r:id="rId198">
        <w:r>
          <w:rPr>
            <w:rStyle w:val="Hyperlink"/>
            <w:rFonts w:ascii="Times New Roman" w:hAnsi="Times New Roman"/>
            <w:b w:val="false"/>
            <w:i w:val="false"/>
            <w:color w:val="000000"/>
            <w:sz w:val="24"/>
          </w:rPr>
          <w:t>441—Chapter 16</w:t>
        </w:r>
      </w:hyperlink>
      <w:r>
        <w:rPr>
          <w:rFonts w:ascii="Times New Roman" w:hAnsi="Times New Roman"/>
          <w:b w:val="false"/>
          <w:i w:val="false"/>
          <w:color w:val="000000"/>
          <w:sz w:val="24"/>
        </w:rPr>
        <w:t xml:space="preserve"> to inform the member of the service termination. If the member returns home before the effective date of the notice of decision and the member’s condition has not substantially changed, the decision will be rescinded, and eligibility for home- and community-based habilitation services shall continue.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member’s service needs exceed the unit or reimbursement maximums for a service as established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Duplication of services provided during the same period has occurred.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member or the member’s legal representative, through the interdisciplinary process, requests termination of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Completion or receipt of required documents for the program has not occurred, or the member refuses to allow documentation of eligibility as to need and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Appeal rights. </w:t>
      </w:r>
      <w:r>
        <w:rPr>
          <w:rFonts w:ascii="Times New Roman" w:hAnsi="Times New Roman"/>
          <w:b w:val="false"/>
          <w:i w:val="false"/>
          <w:color w:val="000000"/>
          <w:sz w:val="24"/>
        </w:rPr>
        <w:t xml:space="preserve">The department shall give notice of any adverse action pursuant to </w:t>
      </w:r>
      <w:hyperlink r:id="rId199">
        <w:r>
          <w:rPr>
            <w:rStyle w:val="Hyperlink"/>
            <w:rFonts w:ascii="Times New Roman" w:hAnsi="Times New Roman"/>
            <w:b w:val="false"/>
            <w:i w:val="false"/>
            <w:color w:val="000000"/>
            <w:sz w:val="24"/>
          </w:rPr>
          <w:t>441—Chapter 16</w:t>
        </w:r>
      </w:hyperlink>
      <w:r>
        <w:rPr>
          <w:rFonts w:ascii="Times New Roman" w:hAnsi="Times New Roman"/>
          <w:b w:val="false"/>
          <w:i w:val="false"/>
          <w:color w:val="000000"/>
          <w:sz w:val="24"/>
        </w:rPr>
        <w:t xml:space="preserve"> and the right to appeal in accordance with </w:t>
      </w:r>
      <w:hyperlink r:id="rId200">
        <w:r>
          <w:rPr>
            <w:rStyle w:val="Hyperlink"/>
            <w:rFonts w:ascii="Times New Roman" w:hAnsi="Times New Roman"/>
            <w:b w:val="false"/>
            <w:i w:val="false"/>
            <w:color w:val="000000"/>
            <w:sz w:val="24"/>
          </w:rPr>
          <w:t>441—Chapter 7</w:t>
        </w:r>
      </w:hyperlink>
      <w:r>
        <w:rPr>
          <w:rFonts w:ascii="Times New Roman" w:hAnsi="Times New Roman"/>
          <w:b w:val="false"/>
          <w:i w:val="false"/>
          <w:color w:val="000000"/>
          <w:sz w:val="24"/>
        </w:rPr>
        <w:t>. The member is entitled to have a review of the determination of needs-based eligibility or of the actual disposition score by sending a letter requesting a review to Iowa Medicaid at the department’s address. If dissatisfied with that decision, the member may file an appeal with the department.</w:t>
      </w:r>
    </w:p>
    <w:p>
      <w:pPr>
        <w:spacing w:before="0" w:after="0" w:line="480"/>
        <w:ind w:left="120"/>
        <w:jc w:val="both"/>
      </w:pPr>
      <w:r>
        <w:rPr>
          <w:rFonts w:ascii="Times New Roman" w:hAnsi="Times New Roman"/>
          <w:b/>
          <w:i w:val="false"/>
          <w:color w:val="000000"/>
          <w:sz w:val="24"/>
        </w:rPr>
        <w:t>441—78.28</w:t>
      </w:r>
      <w:r>
        <w:rPr>
          <w:rFonts w:ascii="Times New Roman" w:hAnsi="Times New Roman"/>
          <w:b/>
          <w:i w:val="false"/>
          <w:color w:val="000000"/>
          <w:sz w:val="24"/>
        </w:rPr>
        <w:t xml:space="preserve">(249A) </w:t>
      </w:r>
      <w:r>
        <w:rPr>
          <w:rFonts w:ascii="Times New Roman" w:hAnsi="Times New Roman"/>
          <w:b/>
          <w:i w:val="false"/>
          <w:color w:val="000000"/>
          <w:sz w:val="24"/>
        </w:rPr>
        <w:t xml:space="preserve">List of medical services and equipment requiring prior authorization, preprocedure review or preadmission review.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78.28(1)</w:t>
      </w:r>
      <w:r>
        <w:rPr>
          <w:rFonts w:ascii="Times New Roman" w:hAnsi="Times New Roman"/>
          <w:b w:val="false"/>
          <w:i w:val="false"/>
          <w:color w:val="000000"/>
          <w:sz w:val="24"/>
        </w:rPr>
        <w:t> </w:t>
      </w:r>
      <w:r>
        <w:rPr>
          <w:rFonts w:ascii="Times New Roman" w:hAnsi="Times New Roman"/>
          <w:b w:val="false"/>
          <w:i w:val="false"/>
          <w:color w:val="000000"/>
          <w:sz w:val="24"/>
        </w:rPr>
        <w:t xml:space="preserve">Services, procedures, and medications prescribed by a physician, PA, or ARNP that are subject to prior authorization or preprocedure review are as follows or as specified in the preferred drug list published by the department pursuant to Iowa Code section </w:t>
      </w:r>
      <w:hyperlink r:id="rId201">
        <w:r>
          <w:rPr>
            <w:rStyle w:val="Hyperlink"/>
            <w:rFonts w:ascii="Times New Roman" w:hAnsi="Times New Roman"/>
            <w:b w:val="false"/>
            <w:i w:val="false"/>
            <w:color w:val="000000"/>
            <w:sz w:val="24"/>
          </w:rPr>
          <w:t>249A.20A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Drugs require prior authorization as specified in the preferred drug list published by the department pursuant to Iowa Code section </w:t>
      </w:r>
      <w:hyperlink r:id="rId202">
        <w:r>
          <w:rPr>
            <w:rStyle w:val="Hyperlink"/>
            <w:rFonts w:ascii="Times New Roman" w:hAnsi="Times New Roman"/>
            <w:b w:val="false"/>
            <w:i w:val="false"/>
            <w:color w:val="000000"/>
            <w:sz w:val="24"/>
          </w:rPr>
          <w:t>249A.20A</w:t>
        </w:r>
      </w:hyperlink>
      <w:r>
        <w:rPr>
          <w:rFonts w:ascii="Times New Roman" w:hAnsi="Times New Roman"/>
          <w:b w:val="false"/>
          <w:i w:val="false"/>
          <w:color w:val="000000"/>
          <w:sz w:val="24"/>
        </w:rPr>
        <w:t>. For drugs requiring prior authorization, reimbursement will be made for a 72-hour supply dispensed in an emergency when a prior authorization request cannot be submitted.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Enteral products and enteral delivery pumps and supplies. Payment will be approved pursuant to the criteria in subrule </w:t>
      </w:r>
      <w:hyperlink r:id="rId203">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Speech generating device. Payment will be approved pursuant to the criteria in subrule </w:t>
      </w:r>
      <w:hyperlink r:id="rId204">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Preprocedure review by Iowa Medicaid will be required if payment under Medicaid is to be made for certain frequently performed surgical procedures that have a wide variation in the relative frequency the procedures are performed. Preprocedure surgical review applies to surgeries performed in hospitals (outpatient and inpatient) and ambulatory surgical centers. Approval by Iowa Medicaid will be granted only if the procedures are determined to be medically necessary based on the condition of the patient and on the criteria established by the department. If not approved by Iowa Medicaid, payment will not be made under the program to the physician or to the facility in which the surgery is performed. The criteria are available from Iowa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Enclosed beds. Payment will be approved pursuant to the criteria in subrule </w:t>
      </w:r>
      <w:hyperlink r:id="rId205">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Prior authorization is required for external insulin infusion pumps and is granted according to Medicare coverage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Oral nutritional products. Payment will be approved pursuant to the criteria in subrule </w:t>
      </w:r>
      <w:hyperlink r:id="rId206">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 xml:space="preserve">Vest airway clearance system. Payment will be approved pursuant to the criteria in subrule </w:t>
      </w:r>
      <w:hyperlink r:id="rId207">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 xml:space="preserve">DME rebate agreements. Payment will be approved pursuant to the criteria in subrule </w:t>
      </w:r>
      <w:hyperlink r:id="rId208">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 xml:space="preserve">Reimbursement over the established Medicaid fee schedule amount. Payment will be approved pursuant to the criteria in subrule </w:t>
      </w:r>
      <w:hyperlink r:id="rId209">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 xml:space="preserve">Bathtub/shower chair, bench. Payment will be approved pursuant to the criteria in subrule </w:t>
      </w:r>
      <w:hyperlink r:id="rId210">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 xml:space="preserve">Patient lift, nonstandard. Payment will be approved pursuant to the criteria in subrule </w:t>
      </w:r>
      <w:hyperlink r:id="rId211">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 xml:space="preserve">Power wheelchair attendant control. Payment will be approved pursuant to the criteria in subrule </w:t>
      </w:r>
      <w:hyperlink r:id="rId212">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 xml:space="preserve">Shower commode chair. Payment will be approved pursuant to the criteria in subrule </w:t>
      </w:r>
      <w:hyperlink r:id="rId213">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w:t>
      </w:r>
      <w:r>
        <w:rPr>
          <w:rFonts w:ascii="Times New Roman" w:hAnsi="Times New Roman"/>
          <w:b w:val="false"/>
          <w:i w:val="false"/>
          <w:color w:val="000000"/>
          <w:sz w:val="24"/>
        </w:rPr>
        <w:t>  </w:t>
      </w:r>
      <w:r>
        <w:rPr>
          <w:rFonts w:ascii="Times New Roman" w:hAnsi="Times New Roman"/>
          <w:b w:val="false"/>
          <w:i w:val="false"/>
          <w:color w:val="000000"/>
          <w:sz w:val="24"/>
        </w:rPr>
        <w:t>Ventilator, secondary. Payment will be approved pursuant to the Medicare coverage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w:t>
      </w:r>
      <w:r>
        <w:rPr>
          <w:rFonts w:ascii="Times New Roman" w:hAnsi="Times New Roman"/>
          <w:b w:val="false"/>
          <w:i w:val="false"/>
          <w:color w:val="000000"/>
          <w:sz w:val="24"/>
        </w:rPr>
        <w:t>  </w:t>
      </w:r>
      <w:r>
        <w:rPr>
          <w:rFonts w:ascii="Times New Roman" w:hAnsi="Times New Roman"/>
          <w:b w:val="false"/>
          <w:i w:val="false"/>
          <w:color w:val="000000"/>
          <w:sz w:val="24"/>
        </w:rPr>
        <w:t xml:space="preserve">Customized wheelchairs, subject to the requirements of paragraph </w:t>
      </w:r>
      <w:hyperlink r:id="rId214">
        <w:r>
          <w:rPr>
            <w:rStyle w:val="Hyperlink"/>
            <w:rFonts w:ascii="Times New Roman" w:hAnsi="Times New Roman"/>
            <w:b w:val="false"/>
            <w:i w:val="false"/>
            <w:color w:val="000000"/>
            <w:sz w:val="24"/>
          </w:rPr>
          <w:t>78.10(2)</w:t>
        </w:r>
      </w:hyperlink>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78.28(2)</w:t>
      </w:r>
      <w:r>
        <w:rPr>
          <w:rFonts w:ascii="Times New Roman" w:hAnsi="Times New Roman"/>
          <w:b w:val="false"/>
          <w:i w:val="false"/>
          <w:color w:val="000000"/>
          <w:sz w:val="24"/>
        </w:rPr>
        <w:t> </w:t>
      </w:r>
      <w:r>
        <w:rPr>
          <w:rFonts w:ascii="Times New Roman" w:hAnsi="Times New Roman"/>
          <w:b w:val="false"/>
          <w:i w:val="false"/>
          <w:color w:val="000000"/>
          <w:sz w:val="24"/>
        </w:rPr>
        <w:t xml:space="preserve">Notwithstanding the provisions of paragraph </w:t>
      </w:r>
      <w:hyperlink r:id="rId215">
        <w:r>
          <w:rPr>
            <w:rStyle w:val="Hyperlink"/>
            <w:rFonts w:ascii="Times New Roman" w:hAnsi="Times New Roman"/>
            <w:b w:val="false"/>
            <w:i w:val="false"/>
            <w:color w:val="000000"/>
            <w:sz w:val="24"/>
          </w:rPr>
          <w:t>78.28(1)</w:t>
        </w:r>
      </w:hyperlink>
      <w:r>
        <w:rPr>
          <w:rFonts w:ascii="Times New Roman" w:hAnsi="Times New Roman"/>
          <w:b w:val="false"/>
          <w:i/>
          <w:color w:val="000000"/>
          <w:sz w:val="24"/>
        </w:rPr>
        <w:t>“a,”</w:t>
      </w:r>
      <w:r>
        <w:rPr>
          <w:rFonts w:ascii="Times New Roman" w:hAnsi="Times New Roman"/>
          <w:b w:val="false"/>
          <w:i w:val="false"/>
          <w:color w:val="000000"/>
          <w:sz w:val="24"/>
        </w:rPr>
        <w:t xml:space="preserve"> under both Medicaid fee-for-service and managed care administration, at least one form of each of the following drugs for medication-assisted treatment as approved by the United States Food and Drug Administration for treatment of substance use disorder or overdose treatment will be available without prior authorization: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Buprenorphine,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Buprenorphine and naloxone combination,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Methadone,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Naltrexone,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Naloxone.</w:t>
      </w:r>
    </w:p>
    <w:p>
      <w:pPr>
        <w:spacing w:before="0" w:after="0" w:line="480"/>
        <w:ind w:left="120"/>
        <w:jc w:val="both"/>
      </w:pPr>
      <w:r>
        <w:rPr>
          <w:rFonts w:ascii="Times New Roman" w:hAnsi="Times New Roman"/>
          <w:b w:val="false"/>
          <w:i w:val="false"/>
          <w:color w:val="000000"/>
          <w:sz w:val="24"/>
        </w:rPr>
        <w:t>For the purpose of this subrule, “medication-assisted treatment” means the medically monitored use of certain substance use disorder medications in combination with treatment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78.28(3)</w:t>
      </w:r>
      <w:r>
        <w:rPr>
          <w:rFonts w:ascii="Times New Roman" w:hAnsi="Times New Roman"/>
          <w:b w:val="false"/>
          <w:i w:val="false"/>
          <w:color w:val="000000"/>
          <w:sz w:val="24"/>
        </w:rPr>
        <w:t> </w:t>
      </w:r>
      <w:r>
        <w:rPr>
          <w:rFonts w:ascii="Times New Roman" w:hAnsi="Times New Roman"/>
          <w:b w:val="false"/>
          <w:i w:val="false"/>
          <w:color w:val="000000"/>
          <w:sz w:val="24"/>
        </w:rPr>
        <w:t>Dental services. Dental services requiring prior approval are outlined in the Iowa Medicaid Dental Provider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78.28(4)</w:t>
      </w:r>
      <w:r>
        <w:rPr>
          <w:rFonts w:ascii="Times New Roman" w:hAnsi="Times New Roman"/>
          <w:b w:val="false"/>
          <w:i w:val="false"/>
          <w:color w:val="000000"/>
          <w:sz w:val="24"/>
        </w:rPr>
        <w:t> </w:t>
      </w:r>
      <w:r>
        <w:rPr>
          <w:rFonts w:ascii="Times New Roman" w:hAnsi="Times New Roman"/>
          <w:b w:val="false"/>
          <w:i w:val="false"/>
          <w:color w:val="000000"/>
          <w:sz w:val="24"/>
        </w:rPr>
        <w:t>Optometric services and ophthalmic materials that must be submitted for prior approval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second lens correction within a 24-month period for members eight years of age and older. Payment will be made when the member’s vision has at least a five-tenths diopter of change in sphere or cylinder or ten-degree change in axis in either eye.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Visual therapy may be authorized when warranted by case history or diagnosis for a period of time not greater than 90 days. Should continued therapy be warranted, the prior approval process should be reaccomplished, accompanied by a report showing satisfactory progress. Approved diagnoses are convergence insufficiency and amblyopia. Visual therapy is not covered when provided by opticians.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Subnormal visual aids where near visual acuity is better than 20/100 at 16 inches, 2M print. Prior authorization is not required if near visual acuity as described above is less than 20/100. Subnormal aids include but are not limited to hand magnifiers, loupes, telescopic spectacles or reverse Galilean telescope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Photochromatic tint. Approval will be given when the member has a documented medical condition that causes photosensitivity and less costly alternatives are inadequate.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Press-on prisms. Approval will be granted for members whose vision cannot be adequately corrected with other covered prisms.</w:t>
      </w:r>
    </w:p>
    <w:p>
      <w:pPr>
        <w:spacing w:before="0" w:after="0" w:line="480"/>
        <w:ind w:left="120"/>
        <w:jc w:val="both"/>
      </w:pPr>
      <w:r>
        <w:rPr>
          <w:rFonts w:ascii="Times New Roman" w:hAnsi="Times New Roman"/>
          <w:b w:val="false"/>
          <w:i w:val="false"/>
          <w:color w:val="000000"/>
          <w:sz w:val="24"/>
        </w:rPr>
        <w:t xml:space="preserve">For all of the above, the optometrist shall furnish sufficient information to clearly establish that these procedures are necessary in terms of the visual condition of the patient pursuant to rule </w:t>
      </w:r>
      <w:hyperlink r:id="rId216">
        <w:r>
          <w:rPr>
            <w:rStyle w:val="Hyperlink"/>
            <w:rFonts w:ascii="Times New Roman" w:hAnsi="Times New Roman"/>
            <w:b w:val="false"/>
            <w:i w:val="false"/>
            <w:color w:val="000000"/>
            <w:sz w:val="24"/>
          </w:rPr>
          <w:t>441—78.7</w:t>
        </w:r>
      </w:hyperlink>
      <w:r>
        <w:rPr>
          <w:rFonts w:ascii="Times New Roman" w:hAnsi="Times New Roman"/>
          <w:b w:val="false"/>
          <w:i w:val="false"/>
          <w:color w:val="000000"/>
          <w:sz w:val="24"/>
        </w:rPr>
        <w:t xml:space="preserve">(249A) and subrule </w:t>
      </w:r>
      <w:hyperlink r:id="rId217">
        <w:r>
          <w:rPr>
            <w:rStyle w:val="Hyperlink"/>
            <w:rFonts w:ascii="Times New Roman" w:hAnsi="Times New Roman"/>
            <w:b w:val="false"/>
            <w:i w:val="false"/>
            <w:color w:val="000000"/>
            <w:sz w:val="24"/>
          </w:rPr>
          <w:t>78.1(18)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78.28(5)</w:t>
      </w:r>
      <w:r>
        <w:rPr>
          <w:rFonts w:ascii="Times New Roman" w:hAnsi="Times New Roman"/>
          <w:b w:val="false"/>
          <w:i w:val="false"/>
          <w:color w:val="000000"/>
          <w:sz w:val="24"/>
        </w:rPr>
        <w:t> </w:t>
      </w:r>
      <w:r>
        <w:rPr>
          <w:rFonts w:ascii="Times New Roman" w:hAnsi="Times New Roman"/>
          <w:b w:val="false"/>
          <w:i w:val="false"/>
          <w:color w:val="000000"/>
          <w:sz w:val="24"/>
        </w:rPr>
        <w:t>Hearing aids that must be submitted for prior approval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Replacement of a hearing aid less than four years old (except when the member is under 21 years of age). The department will approve payment when the original hearing aid is lost or broken beyond repair or there is a significant change in the person’s hearing that would require a different hearing 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hearing aid costing more than $650. The department will approve payment for either of the following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Educational purposes when the member is participating in primary or secondary education or in a postsecondary academic program leading to a degree and an in-office comparison of an analog aid and a digital aid matched (+/- 5dB) for gain and output shows a significant improvement in either speech recognition in quiet or speech recognition in noise or an in-office comparison of two aids, one of which is single channel, shows significantly improved audibility.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Vocational purposes when documentation submitted indicates the necessity, such as varying amounts of background noise in the work environment and a need to converse in order to do the job and an in-office comparison of an analog aid and a digital aid matched (+/- 5dB) for gain and output shows a significant improvement in either speech recognition in quiet or speech recognition in noise or an in-office comparison of two aids, one of which is single channel, shows significantly improved audibility.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78.28(6)</w:t>
      </w:r>
      <w:r>
        <w:rPr>
          <w:rFonts w:ascii="Times New Roman" w:hAnsi="Times New Roman"/>
          <w:b w:val="false"/>
          <w:i w:val="false"/>
          <w:color w:val="000000"/>
          <w:sz w:val="24"/>
        </w:rPr>
        <w:t> </w:t>
      </w:r>
      <w:r>
        <w:rPr>
          <w:rFonts w:ascii="Times New Roman" w:hAnsi="Times New Roman"/>
          <w:b w:val="false"/>
          <w:i w:val="false"/>
          <w:color w:val="000000"/>
          <w:sz w:val="24"/>
        </w:rPr>
        <w:t>Hospital services requiring prior approval, preprocedure review or preadmission review are outlined in the Acute Hospitals Provider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78.28(7)</w:t>
      </w:r>
      <w:r>
        <w:rPr>
          <w:rFonts w:ascii="Times New Roman" w:hAnsi="Times New Roman"/>
          <w:b w:val="false"/>
          <w:i w:val="false"/>
          <w:color w:val="000000"/>
          <w:sz w:val="24"/>
        </w:rPr>
        <w:t> </w:t>
      </w:r>
      <w:r>
        <w:rPr>
          <w:rFonts w:ascii="Times New Roman" w:hAnsi="Times New Roman"/>
          <w:b w:val="false"/>
          <w:i w:val="false"/>
          <w:color w:val="000000"/>
          <w:sz w:val="24"/>
        </w:rPr>
        <w:t>Ambulatory surgical centers are subject to prior approval and preprocedure review as set forth in the Ambulatory Surgical Centers Provider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78.28(8)</w:t>
      </w:r>
      <w:r>
        <w:rPr>
          <w:rFonts w:ascii="Times New Roman" w:hAnsi="Times New Roman"/>
          <w:b w:val="false"/>
          <w:i w:val="false"/>
          <w:color w:val="000000"/>
          <w:sz w:val="24"/>
        </w:rPr>
        <w:t> </w:t>
      </w:r>
      <w:r>
        <w:rPr>
          <w:rFonts w:ascii="Times New Roman" w:hAnsi="Times New Roman"/>
          <w:b w:val="false"/>
          <w:i w:val="false"/>
          <w:color w:val="000000"/>
          <w:sz w:val="24"/>
        </w:rPr>
        <w:t xml:space="preserve">All assertive community treatment (ACT) services require prior approval. </w:t>
      </w:r>
      <w:r>
        <w:rPr>
          <w:rFonts w:ascii="Times New Roman" w:hAnsi="Times New Roman"/>
          <w:b w:val="false"/>
          <w:i w:val="false"/>
          <w:color w:val="000000"/>
          <w:sz w:val="24"/>
        </w:rPr>
        <w:t>EXCEPTION</w:t>
      </w:r>
      <w:r>
        <w:rPr>
          <w:rFonts w:ascii="Times New Roman" w:hAnsi="Times New Roman"/>
          <w:b w:val="false"/>
          <w:i w:val="false"/>
          <w:color w:val="000000"/>
          <w:sz w:val="24"/>
        </w:rPr>
        <w:t>: If ACT services are initiated before Medicaid eligibility is established, prior approval is required for ACT services beginning with the second month following notice of Medicaid eligibility.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Approval will be granted if ACT services are determined to be medically necessary. Approval will be limited to no more than 180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new prior approval must be obtained to continue ACT services after the expiration of a previous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78.28(9)</w:t>
      </w:r>
      <w:r>
        <w:rPr>
          <w:rFonts w:ascii="Times New Roman" w:hAnsi="Times New Roman"/>
          <w:b w:val="false"/>
          <w:i w:val="false"/>
          <w:color w:val="000000"/>
          <w:sz w:val="24"/>
        </w:rPr>
        <w:t> </w:t>
      </w:r>
      <w:r>
        <w:rPr>
          <w:rFonts w:ascii="Times New Roman" w:hAnsi="Times New Roman"/>
          <w:b w:val="false"/>
          <w:i w:val="false"/>
          <w:color w:val="000000"/>
          <w:sz w:val="24"/>
        </w:rPr>
        <w:t>Nursing, psychosocial, developmental therapies and personal care services provided by a licensed child care center for members aged 20 or under require prior approval and will be approved if the services are determined to be medically necessary. The request for prior authorization shall include a nursing assessment, the plan of care, and supporting documentation and shall identify the types and service delivery levels of all other services provided to the member whether or not the services are reimbursable by Medicaid. Providers shall indicate the expected number of nursing, home health aide or behavior intervention hours per day, the number of days per week, and the number of weeks or months of service based on the plan of care using a combined hourly 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78.28(10)</w:t>
      </w:r>
      <w:r>
        <w:rPr>
          <w:rFonts w:ascii="Times New Roman" w:hAnsi="Times New Roman"/>
          <w:b w:val="false"/>
          <w:i w:val="false"/>
          <w:color w:val="000000"/>
          <w:sz w:val="24"/>
        </w:rPr>
        <w:t> </w:t>
      </w:r>
      <w:r>
        <w:rPr>
          <w:rFonts w:ascii="Times New Roman" w:hAnsi="Times New Roman"/>
          <w:b w:val="false"/>
          <w:i w:val="false"/>
          <w:color w:val="000000"/>
          <w:sz w:val="24"/>
        </w:rPr>
        <w:t>Private duty nursing or personal care services provided by a home health agency provider for persons aged 20 or under require prior approval and will be approved if determined to be medically necessary. Payment will be made on an hourly unit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Definitions.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Private duty nursing services are those services provided by a registered nurse or a licensed practical nurse under the direction of the member’s physician to a member in the member’s place of residence or outside the member’s residence, when normal life activities take the member outside the place of residence. Place of residence does not include nursing facilities, ICFs/ID, or hospitals.</w:t>
      </w:r>
    </w:p>
    <w:p>
      <w:pPr>
        <w:spacing w:before="0" w:after="0" w:line="480"/>
        <w:ind w:left="120"/>
        <w:jc w:val="both"/>
      </w:pPr>
      <w:r>
        <w:rPr>
          <w:rFonts w:ascii="Times New Roman" w:hAnsi="Times New Roman"/>
          <w:b w:val="false"/>
          <w:i w:val="false"/>
          <w:color w:val="000000"/>
          <w:sz w:val="24"/>
        </w:rPr>
        <w:t xml:space="preserve">Services shall be provided according to a written plan of care authorized by a licensed physician. The home health agency is encouraged to collaborate with the member, or in the case of a child with the child’s caregiver, in the development and implementation of the plan of treatment. These services shall exceed intermittent guidelines as defined in subrule </w:t>
      </w:r>
      <w:hyperlink r:id="rId218">
        <w:r>
          <w:rPr>
            <w:rStyle w:val="Hyperlink"/>
            <w:rFonts w:ascii="Times New Roman" w:hAnsi="Times New Roman"/>
            <w:b w:val="false"/>
            <w:i w:val="false"/>
            <w:color w:val="000000"/>
            <w:sz w:val="24"/>
          </w:rPr>
          <w:t>78.9(3)</w:t>
        </w:r>
      </w:hyperlink>
      <w:r>
        <w:rPr>
          <w:rFonts w:ascii="Times New Roman" w:hAnsi="Times New Roman"/>
          <w:b w:val="false"/>
          <w:i w:val="false"/>
          <w:color w:val="000000"/>
          <w:sz w:val="24"/>
        </w:rPr>
        <w:t>. Private duty nursing and personal care services shall be inclusive of all home health agency services personally provided to the member.</w:t>
      </w:r>
    </w:p>
    <w:p>
      <w:pPr>
        <w:spacing w:before="0" w:after="0" w:line="480"/>
        <w:ind w:left="120"/>
        <w:jc w:val="both"/>
      </w:pPr>
      <w:r>
        <w:rPr>
          <w:rFonts w:ascii="Times New Roman" w:hAnsi="Times New Roman"/>
          <w:b w:val="false"/>
          <w:i w:val="false"/>
          <w:color w:val="000000"/>
          <w:sz w:val="24"/>
        </w:rPr>
        <w:t>Private duty nursing services do not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Respite care, which is a temporary intermission or period of rest for the caregiver.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Nurse supervision services including chart review, case discussion or scheduling by a registered nurse.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Services provided to other persons in the member’s household.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Services requiring prior authorization that are provided without regard to the prior authorization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Personal care services are those services provided by a home health aide or certified nurse’s aide and that are delegated and supervised by a registered nurse under the direction of the member’s physician to a member in the member’s place of residence or outside the member’s residence, when normal life activities take the member outside the place of residence. Place of residence does not include nursing facilities, ICFs/ID, or hospitals. Payment for personal care services for persons aged 20 and under that exceed intermittent guidelines may be approved if determined to be medically necessary as defined in subrule </w:t>
      </w:r>
      <w:hyperlink r:id="rId219">
        <w:r>
          <w:rPr>
            <w:rStyle w:val="Hyperlink"/>
            <w:rFonts w:ascii="Times New Roman" w:hAnsi="Times New Roman"/>
            <w:b w:val="false"/>
            <w:i w:val="false"/>
            <w:color w:val="000000"/>
            <w:sz w:val="24"/>
          </w:rPr>
          <w:t>78.9(7)</w:t>
        </w:r>
      </w:hyperlink>
      <w:r>
        <w:rPr>
          <w:rFonts w:ascii="Times New Roman" w:hAnsi="Times New Roman"/>
          <w:b w:val="false"/>
          <w:i w:val="false"/>
          <w:color w:val="000000"/>
          <w:sz w:val="24"/>
        </w:rPr>
        <w:t>. These services shall be in accordance with the member’s plan of care and authorized by a physician. The home health agency is encouraged to collaborate with the member, or in the case of a child with the child’s caregiver, in the development and implementation of the plan of treatment.</w:t>
      </w:r>
    </w:p>
    <w:p>
      <w:pPr>
        <w:spacing w:before="0" w:after="0" w:line="480"/>
        <w:ind w:left="120"/>
        <w:jc w:val="both"/>
      </w:pPr>
      <w:r>
        <w:rPr>
          <w:rFonts w:ascii="Times New Roman" w:hAnsi="Times New Roman"/>
          <w:b w:val="false"/>
          <w:i w:val="false"/>
          <w:color w:val="000000"/>
          <w:sz w:val="24"/>
        </w:rPr>
        <w:t>Medical necessity means the service is reasonably calculated to prevent, diagnose, correct, cure, alleviate or prevent the worsening of conditions that endanger life, cause pain, result in illness or infirmity, threaten to cause or aggravate a disability or chronic illness, and no other equally effective course of treatment is available or suitable for the member requesting a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Private duty nursing or personal care services shall be ordered in writing by a physician as evidenced by the physician’s signature on the plan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Private duty nursing or personal care services will be authorized by the department or the department’s designated review agent prior to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Prior authorization shall be requested at the time of initial submission of the plan of care or at any time the plan of care is substantially amended and will be renewed with the department or the department’s designated review agent. Initial request for and request for renewal of prior authorization shall be submitted to the department’s designated review agent. The provider of the service is responsible for requesting prior authorization and for obtaining renewal of prior authorization.</w:t>
      </w:r>
    </w:p>
    <w:p>
      <w:pPr>
        <w:spacing w:before="0" w:after="0" w:line="480"/>
        <w:ind w:left="120"/>
        <w:jc w:val="both"/>
      </w:pPr>
      <w:r>
        <w:rPr>
          <w:rFonts w:ascii="Times New Roman" w:hAnsi="Times New Roman"/>
          <w:b w:val="false"/>
          <w:i w:val="false"/>
          <w:color w:val="000000"/>
          <w:sz w:val="24"/>
        </w:rPr>
        <w:t>The request for prior authorization shall include a nursing assessment, the plan of care, and supporting documentation. The request for prior authorization shall include all items previously identified as required treatment plan information and shall further include: any planned surgical interventions and projected time frame; information regarding caregiver’s desire to become involved in the member’s care, to adhere to program objectives, to work toward treatment plan goals, and to work toward maximum independence; and identify the types and service delivery levels of all other services to the member whether or not the services are reimbursable by Medicaid. Providers shall indicate the expected number of private duty nursing RN hours, private duty nursing LPN hours, or home health aide hours per day, the number of days per week, and the number of weeks or months of service per discipline. If the member is currently hospitalized, the projected date of discharge shall be included.</w:t>
      </w:r>
    </w:p>
    <w:p>
      <w:pPr>
        <w:spacing w:before="0" w:after="0" w:line="480"/>
        <w:ind w:left="120"/>
        <w:jc w:val="both"/>
      </w:pPr>
      <w:r>
        <w:rPr>
          <w:rFonts w:ascii="Times New Roman" w:hAnsi="Times New Roman"/>
          <w:b w:val="false"/>
          <w:i w:val="false"/>
          <w:color w:val="000000"/>
          <w:sz w:val="24"/>
        </w:rPr>
        <w:t>Prior authorization approvals will not be granted for treatment plans that exceed 16 hours of home health agency services per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78.28(11)</w:t>
      </w:r>
      <w:r>
        <w:rPr>
          <w:rFonts w:ascii="Times New Roman" w:hAnsi="Times New Roman"/>
          <w:b w:val="false"/>
          <w:i w:val="false"/>
          <w:color w:val="000000"/>
          <w:sz w:val="24"/>
        </w:rPr>
        <w:t> </w:t>
      </w:r>
      <w:r>
        <w:rPr>
          <w:rFonts w:ascii="Times New Roman" w:hAnsi="Times New Roman"/>
          <w:b w:val="false"/>
          <w:i w:val="false"/>
          <w:color w:val="000000"/>
          <w:sz w:val="24"/>
        </w:rPr>
        <w:t>Replacement of vibrotactile aids less than four years old will be approved when the original aid is broken beyond repair or lost.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78.28(12)</w:t>
      </w:r>
      <w:r>
        <w:rPr>
          <w:rFonts w:ascii="Times New Roman" w:hAnsi="Times New Roman"/>
          <w:b w:val="false"/>
          <w:i w:val="false"/>
          <w:color w:val="000000"/>
          <w:sz w:val="24"/>
        </w:rPr>
        <w:t> </w:t>
      </w:r>
      <w:r>
        <w:rPr>
          <w:rFonts w:ascii="Times New Roman" w:hAnsi="Times New Roman"/>
          <w:b w:val="false"/>
          <w:i w:val="false"/>
          <w:color w:val="000000"/>
          <w:sz w:val="24"/>
        </w:rPr>
        <w:t>High-technology radiology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Except as provided in paragraph </w:t>
      </w:r>
      <w:hyperlink r:id="rId220">
        <w:r>
          <w:rPr>
            <w:rStyle w:val="Hyperlink"/>
            <w:rFonts w:ascii="Times New Roman" w:hAnsi="Times New Roman"/>
            <w:b w:val="false"/>
            <w:i w:val="false"/>
            <w:color w:val="000000"/>
            <w:sz w:val="24"/>
          </w:rPr>
          <w:t>78.28(12)</w:t>
        </w:r>
      </w:hyperlink>
      <w:r>
        <w:rPr>
          <w:rFonts w:ascii="Times New Roman" w:hAnsi="Times New Roman"/>
          <w:b w:val="false"/>
          <w:i/>
          <w:color w:val="000000"/>
          <w:sz w:val="24"/>
        </w:rPr>
        <w:t>“b,”</w:t>
      </w:r>
      <w:r>
        <w:rPr>
          <w:rFonts w:ascii="Times New Roman" w:hAnsi="Times New Roman"/>
          <w:b w:val="false"/>
          <w:i w:val="false"/>
          <w:color w:val="000000"/>
          <w:sz w:val="24"/>
        </w:rPr>
        <w:t xml:space="preserve"> the following radiology procedures require prior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Magnetic resonance imaging (MRIs);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Computed tomography (CTs), including combined abdomen and pelvis CT scans;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Computed tomographic angiographs (CTAs);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Positron emission tomography (PETs); and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Magnetic resonance angiography (MRAs).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Notwithstanding paragraph </w:t>
      </w:r>
      <w:hyperlink r:id="rId221">
        <w:r>
          <w:rPr>
            <w:rStyle w:val="Hyperlink"/>
            <w:rFonts w:ascii="Times New Roman" w:hAnsi="Times New Roman"/>
            <w:b w:val="false"/>
            <w:i w:val="false"/>
            <w:color w:val="000000"/>
            <w:sz w:val="24"/>
          </w:rPr>
          <w:t>78.28(12)</w:t>
        </w:r>
      </w:hyperlink>
      <w:r>
        <w:rPr>
          <w:rFonts w:ascii="Times New Roman" w:hAnsi="Times New Roman"/>
          <w:b w:val="false"/>
          <w:i/>
          <w:color w:val="000000"/>
          <w:sz w:val="24"/>
        </w:rPr>
        <w:t>“a,”</w:t>
      </w:r>
      <w:r>
        <w:rPr>
          <w:rFonts w:ascii="Times New Roman" w:hAnsi="Times New Roman"/>
          <w:b w:val="false"/>
          <w:i w:val="false"/>
          <w:color w:val="000000"/>
          <w:sz w:val="24"/>
        </w:rPr>
        <w:t xml:space="preserve"> prior authorization is not required when any of the following applies: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Radiology procedures are billed on a CMS 1500 claim for places of service “hospital inpatient” (POS 21) or “hospital emergency room” (POS 23), or on a UB04 claim with revenue code 45X;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member has Medicare coverage;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radiology procedure is ordered or requested by the department, a state district court, law enforcement, or other similar entity for the purposes of a child abuse/neglect investigation, as documented by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Prior approval will be granted if the procedure requested meets the requirements of </w:t>
      </w:r>
      <w:hyperlink r:id="rId222">
        <w:r>
          <w:rPr>
            <w:rStyle w:val="Hyperlink"/>
            <w:rFonts w:ascii="Times New Roman" w:hAnsi="Times New Roman"/>
            <w:b w:val="false"/>
            <w:i w:val="false"/>
            <w:color w:val="000000"/>
            <w:sz w:val="24"/>
          </w:rPr>
          <w:t>441—subrule 79.9(2)</w:t>
        </w:r>
      </w:hyperlink>
      <w:r>
        <w:rPr>
          <w:rFonts w:ascii="Times New Roman" w:hAnsi="Times New Roman"/>
          <w:b w:val="false"/>
          <w:i w:val="false"/>
          <w:color w:val="000000"/>
          <w:sz w:val="24"/>
        </w:rPr>
        <w:t>, based on diagnosis, symptoms, history of illness, course of treatment, and treatment plan, as documented by the provider requesting prior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Required requests for prior approval of radiology procedures must be submitted to the department.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When a member has received notice of retroactive Medicaid eligibility after receiving a radiology procedure for a date of service prior to the member’s receipt of such notice and otherwise requiring prior approval pursuant to this rule, a retroactive authorization request must be submitted on an Outpatient Prior Authorization Request form and approved before any claim for payment is submitted.</w:t>
      </w:r>
    </w:p>
    <w:p>
      <w:pPr>
        <w:spacing w:before="0" w:after="0" w:line="480"/>
        <w:ind w:left="120"/>
        <w:jc w:val="both"/>
      </w:pPr>
      <w:r>
        <w:rPr>
          <w:rFonts w:ascii="Times New Roman" w:hAnsi="Times New Roman"/>
          <w:b/>
          <w:i w:val="false"/>
          <w:color w:val="000000"/>
          <w:sz w:val="24"/>
        </w:rPr>
        <w:t>441—78.29</w:t>
      </w:r>
      <w:r>
        <w:rPr>
          <w:rFonts w:ascii="Times New Roman" w:hAnsi="Times New Roman"/>
          <w:b/>
          <w:i w:val="false"/>
          <w:color w:val="000000"/>
          <w:sz w:val="24"/>
        </w:rPr>
        <w:t xml:space="preserve">(249A) </w:t>
      </w:r>
      <w:r>
        <w:rPr>
          <w:rFonts w:ascii="Times New Roman" w:hAnsi="Times New Roman"/>
          <w:b/>
          <w:i w:val="false"/>
          <w:color w:val="000000"/>
          <w:sz w:val="24"/>
        </w:rPr>
        <w:t xml:space="preserve">Behavioral health services. </w:t>
      </w:r>
      <w:r>
        <w:rPr>
          <w:rFonts w:ascii="Times New Roman" w:hAnsi="Times New Roman"/>
          <w:b w:val="false"/>
          <w:i w:val="false"/>
          <w:color w:val="000000"/>
          <w:sz w:val="24"/>
        </w:rPr>
        <w:t>Payment will be made for medically necessary behavioral health services provided by a participating marital and family therapist, independent social worker, master social worker, mental health counselor, or certified alcohol and drug counselor within the practitioner’s scope of practice pursuant to state law and subject to the limitations and exclusions set forth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78.29(1)</w:t>
      </w:r>
      <w:r>
        <w:rPr>
          <w:rFonts w:ascii="Times New Roman" w:hAnsi="Times New Roman"/>
          <w:b w:val="false"/>
          <w:i w:val="false"/>
          <w:color w:val="000000"/>
          <w:sz w:val="24"/>
        </w:rPr>
        <w:t> </w:t>
      </w:r>
      <w:r>
        <w:rPr>
          <w:rFonts w:ascii="Times New Roman" w:hAnsi="Times New Roman"/>
          <w:b w:val="false"/>
          <w:i/>
          <w:color w:val="000000"/>
          <w:sz w:val="24"/>
        </w:rPr>
        <w:t xml:space="preserve">Limitations.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assessment and a treatment plan are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Services provided by a licensed master social worker must be provided under the supervision of an independent social worker qualified to participate in the Medicaid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78.29(2)</w:t>
      </w:r>
      <w:r>
        <w:rPr>
          <w:rFonts w:ascii="Times New Roman" w:hAnsi="Times New Roman"/>
          <w:b w:val="false"/>
          <w:i w:val="false"/>
          <w:color w:val="000000"/>
          <w:sz w:val="24"/>
        </w:rPr>
        <w:t> </w:t>
      </w:r>
      <w:r>
        <w:rPr>
          <w:rFonts w:ascii="Times New Roman" w:hAnsi="Times New Roman"/>
          <w:b w:val="false"/>
          <w:i/>
          <w:color w:val="000000"/>
          <w:sz w:val="24"/>
        </w:rPr>
        <w:t xml:space="preserve">Exclusions. </w:t>
      </w:r>
      <w:r>
        <w:rPr>
          <w:rFonts w:ascii="Times New Roman" w:hAnsi="Times New Roman"/>
          <w:b w:val="false"/>
          <w:i w:val="false"/>
          <w:color w:val="000000"/>
          <w:sz w:val="24"/>
        </w:rPr>
        <w:t>Payment will not be approved for the following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Services provided in a medical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Services performed without relationship to a specific condition, risk factor, symptom, or complaint.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Services provided for nonspecific conditions of distress such as job dissatisfaction or general unhappiness.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Sensitivity training, marriage enrichment, assertiveness training, and growth groups or marathons.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78.29(3)</w:t>
      </w:r>
      <w:r>
        <w:rPr>
          <w:rFonts w:ascii="Times New Roman" w:hAnsi="Times New Roman"/>
          <w:b w:val="false"/>
          <w:i w:val="false"/>
          <w:color w:val="000000"/>
          <w:sz w:val="24"/>
        </w:rPr>
        <w:t> </w:t>
      </w:r>
      <w:r>
        <w:rPr>
          <w:rFonts w:ascii="Times New Roman" w:hAnsi="Times New Roman"/>
          <w:b w:val="false"/>
          <w:i/>
          <w:color w:val="000000"/>
          <w:sz w:val="24"/>
        </w:rPr>
        <w:t xml:space="preserve">Payment.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Payment will be made only for time spent in face-to-face consultation with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unit of service is 15 minutes. Time spent with members shall be rounded to the quarter hour, where applicable.</w:t>
      </w:r>
    </w:p>
    <w:p>
      <w:pPr>
        <w:spacing w:before="210" w:after="0" w:line="480"/>
        <w:ind w:left="120"/>
        <w:jc w:val="both"/>
      </w:pPr>
      <w:r>
        <w:rPr>
          <w:rFonts w:ascii="Times New Roman" w:hAnsi="Times New Roman"/>
          <w:b/>
          <w:i w:val="false"/>
          <w:color w:val="000000"/>
          <w:sz w:val="24"/>
        </w:rPr>
        <w:t>441—78.30</w:t>
      </w:r>
      <w:r>
        <w:rPr>
          <w:rFonts w:ascii="Times New Roman" w:hAnsi="Times New Roman"/>
          <w:b/>
          <w:i w:val="false"/>
          <w:color w:val="000000"/>
          <w:sz w:val="24"/>
        </w:rPr>
        <w:t xml:space="preserve">(249A) </w:t>
      </w:r>
      <w:r>
        <w:rPr>
          <w:rFonts w:ascii="Times New Roman" w:hAnsi="Times New Roman"/>
          <w:b/>
          <w:i w:val="false"/>
          <w:color w:val="000000"/>
          <w:sz w:val="24"/>
        </w:rPr>
        <w:t xml:space="preserve">Birth centers. </w:t>
      </w:r>
      <w:r>
        <w:rPr>
          <w:rFonts w:ascii="Times New Roman" w:hAnsi="Times New Roman"/>
          <w:b w:val="false"/>
          <w:i w:val="false"/>
          <w:color w:val="000000"/>
          <w:sz w:val="24"/>
        </w:rPr>
        <w:t>Payment will be made for prenatal, delivery, and postnatal services as outlined in the Birth Centers Provider Manual as amended to July 1, 2026.</w:t>
      </w:r>
    </w:p>
    <w:p>
      <w:pPr>
        <w:spacing w:before="0" w:after="0" w:line="480"/>
        <w:ind w:left="120"/>
        <w:jc w:val="both"/>
      </w:pPr>
      <w:r>
        <w:rPr>
          <w:rFonts w:ascii="Times New Roman" w:hAnsi="Times New Roman"/>
          <w:b/>
          <w:i w:val="false"/>
          <w:color w:val="000000"/>
          <w:sz w:val="24"/>
        </w:rPr>
        <w:t>441—78.31</w:t>
      </w:r>
      <w:r>
        <w:rPr>
          <w:rFonts w:ascii="Times New Roman" w:hAnsi="Times New Roman"/>
          <w:b/>
          <w:i w:val="false"/>
          <w:color w:val="000000"/>
          <w:sz w:val="24"/>
        </w:rPr>
        <w:t xml:space="preserve">(249A) </w:t>
      </w:r>
      <w:r>
        <w:rPr>
          <w:rFonts w:ascii="Times New Roman" w:hAnsi="Times New Roman"/>
          <w:b/>
          <w:i w:val="false"/>
          <w:color w:val="000000"/>
          <w:sz w:val="24"/>
        </w:rPr>
        <w:t xml:space="preserve">Hospital outpatient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78.31(1)</w:t>
      </w:r>
      <w:r>
        <w:rPr>
          <w:rFonts w:ascii="Times New Roman" w:hAnsi="Times New Roman"/>
          <w:b w:val="false"/>
          <w:i w:val="false"/>
          <w:color w:val="000000"/>
          <w:sz w:val="24"/>
        </w:rPr>
        <w:t> </w:t>
      </w:r>
      <w:r>
        <w:rPr>
          <w:rFonts w:ascii="Times New Roman" w:hAnsi="Times New Roman"/>
          <w:b w:val="false"/>
          <w:i/>
          <w:color w:val="000000"/>
          <w:sz w:val="24"/>
        </w:rPr>
        <w:t xml:space="preserve">Covered hospital outpatient services. </w:t>
      </w:r>
      <w:r>
        <w:rPr>
          <w:rFonts w:ascii="Times New Roman" w:hAnsi="Times New Roman"/>
          <w:b w:val="false"/>
          <w:i w:val="false"/>
          <w:color w:val="000000"/>
          <w:sz w:val="24"/>
        </w:rPr>
        <w:t xml:space="preserve">Payment will be approved only for the following outpatient hospital services and medical services when provided on the licensed premises of the hospital. Hospitals with alternate sites approved by the department of inspections, appeals, and licensing are acceptable sites. All outpatient services listed in paragraphs </w:t>
      </w:r>
      <w:hyperlink r:id="rId223">
        <w:r>
          <w:rPr>
            <w:rStyle w:val="Hyperlink"/>
            <w:rFonts w:ascii="Times New Roman" w:hAnsi="Times New Roman"/>
            <w:b w:val="false"/>
            <w:i w:val="false"/>
            <w:color w:val="000000"/>
            <w:sz w:val="24"/>
          </w:rPr>
          <w:t>78.31(1)</w:t>
        </w:r>
      </w:hyperlink>
      <w:r>
        <w:rPr>
          <w:rFonts w:ascii="Times New Roman" w:hAnsi="Times New Roman"/>
          <w:b w:val="false"/>
          <w:i/>
          <w:color w:val="000000"/>
          <w:sz w:val="24"/>
        </w:rPr>
        <w:t>“g”</w:t>
      </w:r>
      <w:r>
        <w:rPr>
          <w:rFonts w:ascii="Times New Roman" w:hAnsi="Times New Roman"/>
          <w:b w:val="false"/>
          <w:i w:val="false"/>
          <w:color w:val="000000"/>
          <w:sz w:val="24"/>
        </w:rPr>
        <w:t xml:space="preserve"> through </w:t>
      </w:r>
      <w:r>
        <w:rPr>
          <w:rFonts w:ascii="Times New Roman" w:hAnsi="Times New Roman"/>
          <w:b w:val="false"/>
          <w:i/>
          <w:color w:val="000000"/>
          <w:sz w:val="24"/>
        </w:rPr>
        <w:t>“m”</w:t>
      </w:r>
      <w:r>
        <w:rPr>
          <w:rFonts w:ascii="Times New Roman" w:hAnsi="Times New Roman"/>
          <w:b w:val="false"/>
          <w:i w:val="false"/>
          <w:color w:val="000000"/>
          <w:sz w:val="24"/>
        </w:rPr>
        <w:t xml:space="preserve"> are subject to a random sample retrospective review for medical necessity by Iowa Medicaid. All services may also be subject to a more intensive retrospective review if abuse is suspected. Services in paragraphs </w:t>
      </w:r>
      <w:hyperlink r:id="rId224">
        <w:r>
          <w:rPr>
            <w:rStyle w:val="Hyperlink"/>
            <w:rFonts w:ascii="Times New Roman" w:hAnsi="Times New Roman"/>
            <w:b w:val="false"/>
            <w:i w:val="false"/>
            <w:color w:val="000000"/>
            <w:sz w:val="24"/>
          </w:rPr>
          <w:t>78.31(1)</w:t>
        </w:r>
      </w:hyperlink>
      <w:r>
        <w:rPr>
          <w:rFonts w:ascii="Times New Roman" w:hAnsi="Times New Roman"/>
          <w:b w:val="false"/>
          <w:i/>
          <w:color w:val="000000"/>
          <w:sz w:val="24"/>
        </w:rPr>
        <w:t>“a”</w:t>
      </w:r>
      <w:r>
        <w:rPr>
          <w:rFonts w:ascii="Times New Roman" w:hAnsi="Times New Roman"/>
          <w:b w:val="false"/>
          <w:i w:val="false"/>
          <w:color w:val="000000"/>
          <w:sz w:val="24"/>
        </w:rPr>
        <w:t xml:space="preserve"> through </w:t>
      </w:r>
      <w:r>
        <w:rPr>
          <w:rFonts w:ascii="Times New Roman" w:hAnsi="Times New Roman"/>
          <w:b w:val="false"/>
          <w:i/>
          <w:color w:val="000000"/>
          <w:sz w:val="24"/>
        </w:rPr>
        <w:t>“f”</w:t>
      </w:r>
      <w:r>
        <w:rPr>
          <w:rFonts w:ascii="Times New Roman" w:hAnsi="Times New Roman"/>
          <w:b w:val="false"/>
          <w:i w:val="false"/>
          <w:color w:val="000000"/>
          <w:sz w:val="24"/>
        </w:rPr>
        <w:t xml:space="preserve"> shall be provided in hospitals on an outpatient basis and are subject to no further limitations except medical necessity of the service.</w:t>
      </w:r>
    </w:p>
    <w:p>
      <w:pPr>
        <w:spacing w:before="0" w:after="0" w:line="480"/>
        <w:ind w:left="120"/>
        <w:jc w:val="both"/>
      </w:pPr>
      <w:r>
        <w:rPr>
          <w:rFonts w:ascii="Times New Roman" w:hAnsi="Times New Roman"/>
          <w:b w:val="false"/>
          <w:i w:val="false"/>
          <w:color w:val="000000"/>
          <w:sz w:val="24"/>
        </w:rPr>
        <w:t xml:space="preserve">Services listed in paragraphs </w:t>
      </w:r>
      <w:hyperlink r:id="rId225">
        <w:r>
          <w:rPr>
            <w:rStyle w:val="Hyperlink"/>
            <w:rFonts w:ascii="Times New Roman" w:hAnsi="Times New Roman"/>
            <w:b w:val="false"/>
            <w:i w:val="false"/>
            <w:color w:val="000000"/>
            <w:sz w:val="24"/>
          </w:rPr>
          <w:t>78.31(1)</w:t>
        </w:r>
      </w:hyperlink>
      <w:r>
        <w:rPr>
          <w:rFonts w:ascii="Times New Roman" w:hAnsi="Times New Roman"/>
          <w:b w:val="false"/>
          <w:i/>
          <w:color w:val="000000"/>
          <w:sz w:val="24"/>
        </w:rPr>
        <w:t>“g”</w:t>
      </w:r>
      <w:r>
        <w:rPr>
          <w:rFonts w:ascii="Times New Roman" w:hAnsi="Times New Roman"/>
          <w:b w:val="false"/>
          <w:i w:val="false"/>
          <w:color w:val="000000"/>
          <w:sz w:val="24"/>
        </w:rPr>
        <w:t xml:space="preserve"> through </w:t>
      </w:r>
      <w:r>
        <w:rPr>
          <w:rFonts w:ascii="Times New Roman" w:hAnsi="Times New Roman"/>
          <w:b w:val="false"/>
          <w:i/>
          <w:color w:val="000000"/>
          <w:sz w:val="24"/>
        </w:rPr>
        <w:t>“m”</w:t>
      </w:r>
      <w:r>
        <w:rPr>
          <w:rFonts w:ascii="Times New Roman" w:hAnsi="Times New Roman"/>
          <w:b w:val="false"/>
          <w:i w:val="false"/>
          <w:color w:val="000000"/>
          <w:sz w:val="24"/>
        </w:rPr>
        <w:t xml:space="preserve"> shall be provided by hospitals on an outpatient basis and must be certified by the department before payment may be made. Other limitations apply to these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Emergency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Outpatient surgery.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Laboratory, X-ray and other diagnostic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General or family medicine.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Follow-up or after-care specialty clinics.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Physical medicine and rehabilitation.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Substance use disorder.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Eating disorders.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Cardiac rehabilitation.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Mental health.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Pain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Diabetic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Pulmonary rehabilitation.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Nutritional counseling for persons aged 20 and under.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78.31(2)</w:t>
      </w:r>
      <w:r>
        <w:rPr>
          <w:rFonts w:ascii="Times New Roman" w:hAnsi="Times New Roman"/>
          <w:b w:val="false"/>
          <w:i w:val="false"/>
          <w:color w:val="000000"/>
          <w:sz w:val="24"/>
        </w:rPr>
        <w:t> </w:t>
      </w:r>
      <w:r>
        <w:rPr>
          <w:rFonts w:ascii="Times New Roman" w:hAnsi="Times New Roman"/>
          <w:b w:val="false"/>
          <w:i/>
          <w:color w:val="000000"/>
          <w:sz w:val="24"/>
        </w:rPr>
        <w:t xml:space="preserve">Requirements for all outpatient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Need for service. </w:t>
      </w:r>
      <w:r>
        <w:rPr>
          <w:rFonts w:ascii="Times New Roman" w:hAnsi="Times New Roman"/>
          <w:b w:val="false"/>
          <w:i w:val="false"/>
          <w:color w:val="000000"/>
          <w:sz w:val="24"/>
        </w:rPr>
        <w:t>It must be clearly established that the service meets a documented need in the area served by the hospital. There must be documentation of studies completed, consultations with other health care facilities and health care professionals in the area, community leaders, and organizations to determine the need for the service and to tailor the service to meet that particular need.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Professional direction. </w:t>
      </w:r>
      <w:r>
        <w:rPr>
          <w:rFonts w:ascii="Times New Roman" w:hAnsi="Times New Roman"/>
          <w:b w:val="false"/>
          <w:i w:val="false"/>
          <w:color w:val="000000"/>
          <w:sz w:val="24"/>
        </w:rPr>
        <w:t>All outpatient services must be provided by or at the direction and under the supervision of a medical doctor or osteopathic physician except for mental health services which may be provided by or at the direction and under the supervision of a medical doctor, osteopathic physician, or certified health service provider in psychology.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Goals and objectives. </w:t>
      </w:r>
      <w:r>
        <w:rPr>
          <w:rFonts w:ascii="Times New Roman" w:hAnsi="Times New Roman"/>
          <w:b w:val="false"/>
          <w:i w:val="false"/>
          <w:color w:val="000000"/>
          <w:sz w:val="24"/>
        </w:rPr>
        <w:t xml:space="preserve">The goals and objectives of the program must be clearly stated. Paragraphs </w:t>
      </w:r>
      <w:r>
        <w:rPr>
          <w:rFonts w:ascii="Times New Roman" w:hAnsi="Times New Roman"/>
          <w:b w:val="false"/>
          <w:i/>
          <w:color w:val="000000"/>
          <w:sz w:val="24"/>
        </w:rPr>
        <w:t>“d”</w:t>
      </w:r>
      <w:r>
        <w:rPr>
          <w:rFonts w:ascii="Times New Roman" w:hAnsi="Times New Roman"/>
          <w:b w:val="false"/>
          <w:i w:val="false"/>
          <w:color w:val="000000"/>
          <w:sz w:val="24"/>
        </w:rPr>
        <w:t xml:space="preserve"> and </w:t>
      </w:r>
      <w:r>
        <w:rPr>
          <w:rFonts w:ascii="Times New Roman" w:hAnsi="Times New Roman"/>
          <w:b w:val="false"/>
          <w:i/>
          <w:color w:val="000000"/>
          <w:sz w:val="24"/>
        </w:rPr>
        <w:t>“f”</w:t>
      </w:r>
      <w:r>
        <w:rPr>
          <w:rFonts w:ascii="Times New Roman" w:hAnsi="Times New Roman"/>
          <w:b w:val="false"/>
          <w:i w:val="false"/>
          <w:color w:val="000000"/>
          <w:sz w:val="24"/>
        </w:rPr>
        <w:t xml:space="preserve"> and the organization and administration of the program must clearly contribute to the fulfillment of the stated goals and objectives.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Treatment modalities used. </w:t>
      </w:r>
      <w:r>
        <w:rPr>
          <w:rFonts w:ascii="Times New Roman" w:hAnsi="Times New Roman"/>
          <w:b w:val="false"/>
          <w:i w:val="false"/>
          <w:color w:val="000000"/>
          <w:sz w:val="24"/>
        </w:rPr>
        <w:t>The service must employ multiple treatment modalities and professional disciplines. The modalities and disciplines employed must be clearly related to the condition or disease being treated.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Criteria for selection and continuing treatment of patients. </w:t>
      </w:r>
      <w:r>
        <w:rPr>
          <w:rFonts w:ascii="Times New Roman" w:hAnsi="Times New Roman"/>
          <w:b w:val="false"/>
          <w:i w:val="false"/>
          <w:color w:val="000000"/>
          <w:sz w:val="24"/>
        </w:rPr>
        <w:t>The condition or disease proposed to be treated must be clearly stated. Any indications for treatment or contraindications for treatment must be set forth together with criteria for determining the continued medical necessity of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Length of program. </w:t>
      </w:r>
      <w:r>
        <w:rPr>
          <w:rFonts w:ascii="Times New Roman" w:hAnsi="Times New Roman"/>
          <w:b w:val="false"/>
          <w:i w:val="false"/>
          <w:color w:val="000000"/>
          <w:sz w:val="24"/>
        </w:rPr>
        <w:t>There must be established parameters that limit the program either in terms of its overall length or in terms of number of visits, etc.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Monitoring of services. </w:t>
      </w:r>
      <w:r>
        <w:rPr>
          <w:rFonts w:ascii="Times New Roman" w:hAnsi="Times New Roman"/>
          <w:b w:val="false"/>
          <w:i w:val="false"/>
          <w:color w:val="000000"/>
          <w:sz w:val="24"/>
        </w:rPr>
        <w:t>The services provided by the program must be monitored and evaluated to determine the degree to which patients are receiving accurate assessments and effective treatment.</w:t>
      </w:r>
    </w:p>
    <w:p>
      <w:pPr>
        <w:spacing w:before="0" w:after="0" w:line="480"/>
        <w:ind w:left="120"/>
        <w:jc w:val="both"/>
      </w:pPr>
      <w:r>
        <w:rPr>
          <w:rFonts w:ascii="Times New Roman" w:hAnsi="Times New Roman"/>
          <w:b w:val="false"/>
          <w:i w:val="false"/>
          <w:color w:val="000000"/>
          <w:sz w:val="24"/>
        </w:rPr>
        <w:t>The monitoring of the services must be an ongoing plan and systematic process to identify problems in patient care or opportunities to improve patient care.</w:t>
      </w:r>
    </w:p>
    <w:p>
      <w:pPr>
        <w:spacing w:before="0" w:after="0" w:line="480"/>
        <w:ind w:left="120"/>
        <w:jc w:val="both"/>
      </w:pPr>
      <w:r>
        <w:rPr>
          <w:rFonts w:ascii="Times New Roman" w:hAnsi="Times New Roman"/>
          <w:b w:val="false"/>
          <w:i w:val="false"/>
          <w:color w:val="000000"/>
          <w:sz w:val="24"/>
        </w:rPr>
        <w:t>The monitoring and evaluation of the services are based on the use of clinical indicators that reflect those components of patient care important to quality.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Vaccines. </w:t>
      </w:r>
      <w:r>
        <w:rPr>
          <w:rFonts w:ascii="Times New Roman" w:hAnsi="Times New Roman"/>
          <w:b w:val="false"/>
          <w:i w:val="false"/>
          <w:color w:val="000000"/>
          <w:sz w:val="24"/>
        </w:rPr>
        <w:t>In order to be paid for the outpatient administration of a vaccine covered under the VFC program, a hospital must enroll in the VFC program. Payment for the vaccine will be approved only if the VFC program stock has been depleted.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78.31(3)</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certification. </w:t>
      </w:r>
      <w:r>
        <w:rPr>
          <w:rFonts w:ascii="Times New Roman" w:hAnsi="Times New Roman"/>
          <w:b w:val="false"/>
          <w:i w:val="false"/>
          <w:color w:val="000000"/>
          <w:sz w:val="24"/>
        </w:rPr>
        <w:t xml:space="preserve">Hospital outpatient programs listed in paragraphs </w:t>
      </w:r>
      <w:hyperlink r:id="rId226">
        <w:r>
          <w:rPr>
            <w:rStyle w:val="Hyperlink"/>
            <w:rFonts w:ascii="Times New Roman" w:hAnsi="Times New Roman"/>
            <w:b w:val="false"/>
            <w:i w:val="false"/>
            <w:color w:val="000000"/>
            <w:sz w:val="24"/>
          </w:rPr>
          <w:t>78.31(1)</w:t>
        </w:r>
      </w:hyperlink>
      <w:r>
        <w:rPr>
          <w:rFonts w:ascii="Times New Roman" w:hAnsi="Times New Roman"/>
          <w:b w:val="false"/>
          <w:i/>
          <w:color w:val="000000"/>
          <w:sz w:val="24"/>
        </w:rPr>
        <w:t>“g”</w:t>
      </w:r>
      <w:r>
        <w:rPr>
          <w:rFonts w:ascii="Times New Roman" w:hAnsi="Times New Roman"/>
          <w:b w:val="false"/>
          <w:i w:val="false"/>
          <w:color w:val="000000"/>
          <w:sz w:val="24"/>
        </w:rPr>
        <w:t xml:space="preserve"> through </w:t>
      </w:r>
      <w:r>
        <w:rPr>
          <w:rFonts w:ascii="Times New Roman" w:hAnsi="Times New Roman"/>
          <w:b w:val="false"/>
          <w:i/>
          <w:color w:val="000000"/>
          <w:sz w:val="24"/>
        </w:rPr>
        <w:t>“m”</w:t>
      </w:r>
      <w:r>
        <w:rPr>
          <w:rFonts w:ascii="Times New Roman" w:hAnsi="Times New Roman"/>
          <w:b w:val="false"/>
          <w:i w:val="false"/>
          <w:color w:val="000000"/>
          <w:sz w:val="24"/>
        </w:rPr>
        <w:t xml:space="preserve"> must submit an application to Iowa Medicaid for certification before payment will be made. Iowa Medicaid will review the application against the requirements for the specific type of outpatient service and notify the provider whether certification has been approved.</w:t>
      </w:r>
    </w:p>
    <w:p>
      <w:pPr>
        <w:spacing w:before="0" w:after="0" w:line="480"/>
        <w:ind w:left="120"/>
        <w:jc w:val="both"/>
      </w:pPr>
      <w:r>
        <w:rPr>
          <w:rFonts w:ascii="Times New Roman" w:hAnsi="Times New Roman"/>
          <w:b w:val="false"/>
          <w:i w:val="false"/>
          <w:color w:val="000000"/>
          <w:sz w:val="24"/>
        </w:rPr>
        <w:t>Applications will consist of a narrative providing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Documented need for the program including studies, needs assessments, and consultations with other health care professionals.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Goals and objectives of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Organization and staffing including how the program fits with the rest of the hospital, the number of staff, staff credentials, and the staff’s relationship to the program, e.g., hospital employee, contractual consultant.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Policies and procedures including admission criteria, patient assessment, treatment plan, discharge plan and postdischarge services, and the scope of services provided, including treatment modalities.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Any accreditations or other types of approvals from national or state organizations.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physical facility and any equipment to be utilized, and whether the facility is part of the hospital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78.31(4)</w:t>
      </w:r>
      <w:r>
        <w:rPr>
          <w:rFonts w:ascii="Times New Roman" w:hAnsi="Times New Roman"/>
          <w:b w:val="false"/>
          <w:i w:val="false"/>
          <w:color w:val="000000"/>
          <w:sz w:val="24"/>
        </w:rPr>
        <w:t> </w:t>
      </w:r>
      <w:r>
        <w:rPr>
          <w:rFonts w:ascii="Times New Roman" w:hAnsi="Times New Roman"/>
          <w:b w:val="false"/>
          <w:i/>
          <w:color w:val="000000"/>
          <w:sz w:val="24"/>
        </w:rPr>
        <w:t xml:space="preserve">Requirements for specific types of service.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Substance use disorder.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Approval by joint commission. In addition to certification by the department, substance use disorder programs must also be approved by the joint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General characteristics. The services must be designed to identify and respond to the biological, psychological and social antecedents, influences and consequences associated with the recipient’s dependence.</w:t>
      </w:r>
    </w:p>
    <w:p>
      <w:pPr>
        <w:spacing w:before="0" w:after="0" w:line="480"/>
        <w:ind w:left="120"/>
        <w:jc w:val="both"/>
      </w:pPr>
      <w:r>
        <w:rPr>
          <w:rFonts w:ascii="Times New Roman" w:hAnsi="Times New Roman"/>
          <w:b w:val="false"/>
          <w:i w:val="false"/>
          <w:color w:val="000000"/>
          <w:sz w:val="24"/>
        </w:rPr>
        <w:t>These needed services must be provided either directly by the facility or through referral, consultation or contractual arrangements or agreements.</w:t>
      </w:r>
    </w:p>
    <w:p>
      <w:pPr>
        <w:spacing w:before="0" w:after="0" w:line="480"/>
        <w:ind w:left="120"/>
        <w:jc w:val="both"/>
      </w:pPr>
      <w:r>
        <w:rPr>
          <w:rFonts w:ascii="Times New Roman" w:hAnsi="Times New Roman"/>
          <w:b w:val="false"/>
          <w:i w:val="false"/>
          <w:color w:val="000000"/>
          <w:sz w:val="24"/>
        </w:rPr>
        <w:t>Special treatment needs of recipients by reason of age, sex, sexual orientation, or ethnic origin are evaluated and services for children and adolescents (as well as adults, if applicable) address the special needs of these age groups including but not limited to learning problems in education, family involvement, developmental status, nutrition, and recreational and leisure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Diagnostic and treatment staff. Each person who provides diagnostic or treatment services shall be determined to be competent to provide the services by reason of education, training, and experience.</w:t>
      </w:r>
    </w:p>
    <w:p>
      <w:pPr>
        <w:spacing w:before="0" w:after="0" w:line="480"/>
        <w:ind w:left="120"/>
        <w:jc w:val="both"/>
      </w:pPr>
      <w:r>
        <w:rPr>
          <w:rFonts w:ascii="Times New Roman" w:hAnsi="Times New Roman"/>
          <w:b w:val="false"/>
          <w:i w:val="false"/>
          <w:color w:val="000000"/>
          <w:sz w:val="24"/>
        </w:rPr>
        <w:t>Professional disciplines that must be represented on the diagnostic and treatment staff, either through employment by the facility (full-time or part-time), contract or referral, are a physician (M.D. or D.O.), a licensed psychologist and a substance use counselor certified by the Iowa board of certification. Psychiatric consultation must be available and the number of staff should be appropriate to the patient load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Initial assessment. A comprehensive assessment of the biological, psychological, social, and spiritual orientation of the patient must be conducted that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history of the use of alcohol and other drugs including age of onset, duration, patterns, and consequences of use; use of alcohol and drugs by family members and types of and responses to previous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comprehensive medical history and physical examination including the history of physical problems associated with dependence.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Appropriate laboratory screening tests based on findings of the history and physical examination and tests for communicable diseases when indicated.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Any history of physical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systematic mental status examination with special emphasis on immediate recall and recent and remote memory.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 determination of current and past psychiatric and psychological abnormality.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 determination of any degree of danger to self or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family’s history of substance use disorders.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The patient’s educational level, vocational status, and job performance history.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The patient’s social support networks, including family and peer relationships.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The patient’s perception of the patient’s strengths, problem areas, and dependencies.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The patient’s leisure, recreational, or vocational interests and hobbies.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The patient’s ability to participate with peers and in programs and social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Interviews of family members and significant others as available with the patient’s written or verbal permission.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The patient’s legal problems,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Admission criteria. Both of the first two criteria and one additional criterion from the following list must be present for a patient to be accepted for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Alcohol or drugs taken in greater amounts over a longer period than the person intended.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Two or more unsuccessful efforts to cut down or control use of alcohol or drugs.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Continued alcohol or drug use despite knowledge of having a persistent or recurrent family, social, occupational, psychological, or physical problem that is caused or exacerbated by the use of alcohol or drugs.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Marked tolerance: the need for markedly increased amounts of alcohol or drugs (i.e., at least a 50 percent increase) in order to achieve intoxication or desired effect or markedly diminished effect with continued use of same amount.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Characteristic withdrawal symptoms.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Alcohol or drugs taken often to relieve or avoid withdrawal symptoms.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Plan of treatment. For each patient, there is a written comprehensive and individualized description of treatment to be undertaken. The treatment plan is based on the problems and needs identified in the assessment and specifies the regular times at which the plan will be reassessed to determine current clinical problems, needs, and responses to treatment. The plan shall include documentation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patient’s perception of needs and, when appropriate and available, the family’s perception of the patient’s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patient’s participation in the development of the treatment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Changes in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Discharge plan. For each patient before discharge, a plan for discharge is designed to provide appropriate continuity of care that meets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plan for continuing care must describe and facilitate the transfer of the patient and the responsibility for the patient’s continuing care to another phase or modality of the program, other programs, agencies, persons or to the patient and the patient’s personal support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plan is in accordance with the patient’s reassessed needs at the time of transfer.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plan is developed in collaboration with the patient and, as appropriate and available, with the patient’s written verbal permission with family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plan is implemented in a manner acceptable to the patient and the need for confidentiality.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Implementation of the plan includes timely and direct communication with and transfer of information to the other programs, agencies, or persons who will be providing continuing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Restrictions and limitations on payment. Medicaid will reimburse for a maximum of 28 treatment days. Payment beyond 28 days is made when documentation indicates that the patient has not reached an exit level. If an individual has completed all or part of the basic 28-day program, a repeat of the program will be reimbursed with justification. The program will include an aftercare component meeting weekly for at least one year without 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Eating disorders.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General characteristics. Eating disorders are characterized by gross disturbances in eating behavior. Eating disorders include anorexia nervosa or bulimia nervosa. Compulsive overeaters are not approved for this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Diagnostic and treatment staff. Each person who provides diagnostic or treatment services shall be determined to be competent to provide the services by reason of education, training, and experience.</w:t>
      </w:r>
    </w:p>
    <w:p>
      <w:pPr>
        <w:spacing w:before="0" w:after="0" w:line="480"/>
        <w:ind w:left="120"/>
        <w:jc w:val="both"/>
      </w:pPr>
      <w:r>
        <w:rPr>
          <w:rFonts w:ascii="Times New Roman" w:hAnsi="Times New Roman"/>
          <w:b w:val="false"/>
          <w:i w:val="false"/>
          <w:color w:val="000000"/>
          <w:sz w:val="24"/>
        </w:rPr>
        <w:t>Professional disciplines that must be represented on the diagnostic and treatment staff, either through employment by a facility (full-time or part-time), contract or referral, are a physician (M.D. or D.O.), a licensed psychologist, a counselor with a master’s or bachelor’s degree and experience, a dietitian with a bachelor’s degree and registered dietitian’s certificate, and a licensed occupational therapist. The number of staff should be appropriate to the patient load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Initial assessment. A comprehensive assessment of the biological, psychological, social, and family orientation of the patient must be conducted. The assessment must include a weight history and a history of the patient’s eating and dieting behavior, including binge eating, onset, patterns, and consequences. The assessment shall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family history as well as self-assessment regarding chronic dieting, obesity, anorexia, bulimia, drug abuse, alcohol problems, depression, hospitalization for psychiatric reasons, and threatened or attempted suicide.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history of purging behavior including frequency and history of vomiting, use of laxatives, history and frequency of use of diuretics, history and frequency of use of diet pills, ipecac, or any other weight control measures, and frequency of eating normal meals without vomiting.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history of exercise behavior, including type, frequency, and duration.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complete history of current alcohol and other drug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Any suicidal thoughts or attempts.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Sexual history, including sexual preference and activity. Sexual interest currently as compared to prior to the eating disorder is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History of experiencing physical or sexual (incest or rape)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History of other counseling experiences.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Appropriate psychological assessment, including psychological orientation to the above questions.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A medical history, including a physical examination, covering the information listed in subparagraph (4)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Appropriate laboratory screening tests based on findings of the history and physical examination and tests for communicable diseases when indicated.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The patient’s social support networks, including family and peer relationships.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The patient’s educational level, vocational status, and job or school performance history, as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The patient’s leisure, recreational, or vocational interests and hobbies.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The patient’s ability to participate with peers and programs and social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Interview of family members and significant others as available with the patient’s written or verbal permission as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17.</w:t>
      </w:r>
      <w:r>
        <w:rPr>
          <w:rFonts w:ascii="Times New Roman" w:hAnsi="Times New Roman"/>
          <w:b w:val="false"/>
          <w:i w:val="false"/>
          <w:color w:val="000000"/>
          <w:sz w:val="24"/>
        </w:rPr>
        <w:t>  </w:t>
      </w:r>
      <w:r>
        <w:rPr>
          <w:rFonts w:ascii="Times New Roman" w:hAnsi="Times New Roman"/>
          <w:b w:val="false"/>
          <w:i w:val="false"/>
          <w:color w:val="000000"/>
          <w:sz w:val="24"/>
        </w:rPr>
        <w:t>Legal problems,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Admission criteria. In order to be accepted for treatment, the patient shall meet the diagnostic criteria for anorexia nervosa or bulimia nervosa as established by the DSM (Diagnostic and Statistical Manual of Mental Disorders as amended to July 1, 2026) published by the American Psychiatric Association. In addition to the diagnostic criteria, the need for treatment will be determined by a demonstrable loss of control of eating behaviors and the failure of the patient in recent attempts at voluntary self-control of the problem. Demonstrable impairment, dysfunction, disruption or harm of physical health, emotional health (e.g., significant depression withdrawal, isolation, suicidal ideas), vocational or educational functioning, or interpersonal functioning (e.g., loss of relationships, legal difficulties) shall have occurred. The need for treatment may be further substantiated by substance use, out-of-control spending, incidence of stealing to support habit, or compulsive gambling. The symptoms shall have been present for at least six months and three of the following criteria must be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Medical criteria including endocrine and metabolic factors (e.g., amenorrhea, menstrual irregularities, decreased reflexes, cold intolerance, hypercarotenemia, parotid gland enlargement, lower respiration rate, hair loss, abnormal cholesterol or triglyceride levels).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Other cardiovascular factors including hypotension, hypertension, arrhythmia, ipecac poisoning, fainting, or bradycardia.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Renal considerations including diuretic abuse, dehydration, elevated BUN, renal calculi, edema, or hypokalemia.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Gastrointestinal factors including sore throats, Mallory-Weiss tears, decreased gastric emptying, constipation, abnormal liver enzymes, rectal bleeding, laxative abuse, or esophagitis.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Hematologic considerations including anemia, leukopenia, or thrombocytopenia.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Ear, nose, and throat factors including headaches or dizziness.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Skin considerations including lanugo or dry skin.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Aspiration pneumonia, a pulmonary factor.</w:t>
      </w:r>
    </w:p>
    <w:p>
      <w:pPr>
        <w:spacing w:before="0" w:after="0" w:line="480"/>
        <w:ind w:left="120"/>
        <w:jc w:val="both"/>
      </w:pPr>
      <w:r>
        <w:rPr>
          <w:rFonts w:ascii="Times New Roman" w:hAnsi="Times New Roman"/>
          <w:b w:val="false"/>
          <w:i w:val="false"/>
          <w:color w:val="000000"/>
          <w:sz w:val="24"/>
        </w:rPr>
        <w:t>The presence of severe symptoms and complications as evaluated and documented by the medical director may require a period of hospitalization to establish physical or emotional stability.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Plan of treatment. For each patient, there is a written comprehensive and individualized description of treatment to be undertaken. The treatment plan is based on problems and needs identified in the assessment and specifies the regular times at which the plan will be reassessed to determine current clinical problems, needs, and responses to treatment. The plan shall document: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patient’s perceptions of needs and, when appropriate and available, the family’s perceptions of the patient’s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patient’s participation in the development of the treatment plans.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Changes in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Discharge plan. Plans for discharge shall meet the requirements for discharge plans for alcohol and substance use patients in subparagraph </w:t>
      </w:r>
      <w:hyperlink r:id="rId227">
        <w:r>
          <w:rPr>
            <w:rStyle w:val="Hyperlink"/>
            <w:rFonts w:ascii="Times New Roman" w:hAnsi="Times New Roman"/>
            <w:b w:val="false"/>
            <w:i w:val="false"/>
            <w:color w:val="000000"/>
            <w:sz w:val="24"/>
          </w:rPr>
          <w:t>78.31(4)</w:t>
        </w:r>
        <w:r>
          <w:rPr>
            <w:rFonts w:ascii="Times New Roman" w:hAnsi="Times New Roman"/>
            <w:b w:val="false"/>
            <w:i/>
            <w:color w:val="000000"/>
            <w:sz w:val="24"/>
          </w:rPr>
          <w:t>“a”</w:t>
        </w:r>
        <w:r>
          <w:rPr>
            <w:rFonts w:ascii="Times New Roman" w:hAnsi="Times New Roman"/>
            <w:b w:val="false"/>
            <w:i w:val="false"/>
            <w:color w:val="000000"/>
            <w:sz w:val="24"/>
          </w:rPr>
          <w:t>(7)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Restriction and limitations on payment. Medicaid will pay for a maximum of 30 days of a structured outpatient treatment program. Payment beyond 30 days is made when documentation indicates that the patient has not reached an exit level.</w:t>
      </w:r>
    </w:p>
    <w:p>
      <w:pPr>
        <w:spacing w:before="0" w:after="0" w:line="480"/>
        <w:ind w:left="120"/>
        <w:jc w:val="both"/>
      </w:pPr>
      <w:r>
        <w:rPr>
          <w:rFonts w:ascii="Times New Roman" w:hAnsi="Times New Roman"/>
          <w:b w:val="false"/>
          <w:i w:val="false"/>
          <w:color w:val="000000"/>
          <w:sz w:val="24"/>
        </w:rPr>
        <w:t>Eating disorder programs will include an aftercare component meeting weekly for at least one year without charge.</w:t>
      </w:r>
    </w:p>
    <w:p>
      <w:pPr>
        <w:spacing w:before="0" w:after="0" w:line="480"/>
        <w:ind w:left="120"/>
        <w:jc w:val="both"/>
      </w:pPr>
      <w:r>
        <w:rPr>
          <w:rFonts w:ascii="Times New Roman" w:hAnsi="Times New Roman"/>
          <w:b w:val="false"/>
          <w:i w:val="false"/>
          <w:color w:val="000000"/>
          <w:sz w:val="24"/>
        </w:rPr>
        <w:t>Family counseling groups held in conjunction with the eating disorders program will be part of the overall treatment 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Cardiac rehabilitation.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General characteristics. Cardiac rehabilitation programs shall provide a supportive educational environment in which to facilitate behavior change with respect to the accepted cardiac risk factors, initiate prescribed exercise as a mode of facilitating the return of the patient to everyday activities by improving cardiovascular functional capacity and work performance, and promote a long-term commitment to lifestyle changes that could positively affect the course of the cardiovascular disease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Treatment staff. Professional disciplines who must be represented on the treatment staff, either by employment by the facility (full-time or part-time), contract or referral,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At least one physician responsible for responding to emergencies must be physically present in the hospital when patients are receiving cardiac rehabilitation services. The physician must be trained and certified at least to the level of basic life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medical consultant shall oversee the policies and procedures of the outpatient cardiac rehabilitation area. The director shall meet with the cardiac rehabilitation staff on a regular basis to review exercise prescriptions and any concerns of the team.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cardiac rehabilitation nurse shall carry out the exercise prescription after assessment of the patient. The nurse shall be able to interpret cardiac disrhythmia and be able to initiate emergency action if necessary. The nurse shall assess and implement a plan of care for cardiac risk factor modification. The nurse shall have at least one year of experience in a coronary care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physical therapist shall offer expertise in unusual exercise prescriptions where a patient has an unusual exercise problem.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dietitian shall assess the dietary needs of persons and appropriately instruct them on their prescribed diets.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 social worker shall provide counseling as appropriate and facilitate a spouse support group. A licensed occupational therapist shall be available as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Admission criteria. Candidates for the program must be referred by the attending physician. The following conditions are eligible for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Postmyocardial infarction (within three months postdischarge).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Postcardiac surgery (within three months postdischarge).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Poststreptokinase.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Postpercutaneous transluminal angioplasty (within three months postdischarge).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Patient with severe angina being treated medically because of client or doctor preference or inoperable cardiac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Physical environment and equipment. A cardiac rehabilitation unit must be an autonomous physical unit specifically equipped with the necessary telemetry monitoring equipment, exercise equipment, and appropriate equipment and supplies for cardiopulmonary resuscitation (CPR). The exercise equipment must have the capacity to measure the intensity, speed, and length of the exercises. The equipment must be periodically inspected and maintained in accordance with the hospital’s preventive maintenance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Medical records. Medical records for each cardiac rehabilitation patient shall consist of at least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Referral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Physician’s orders.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Laboratory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Electrocardiogram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History and physical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Angiogram report,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Operative report,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Preadmission interview.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Exercise prescription.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Rehabilitation plan, including participant’s goals.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Documentation for exercise sessions and progress notes.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Nurse’s progress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Discharge instructions.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Discharge plan. The patient will be discharged from the program when the physician, staff, and patient agree that the work level is functional for them and little benefit could be derived from further continuation of the program, disrhythmia disturbances are resolved, and appropriate cardiovascular response to exercise is accomplished.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Monitoring of services. The program should be monitored by the hospital on a periodic basis using measuring criteria for evaluating cardiac rehabilitation services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Restrictions and limitations. Payment will be made for a maximum of three visits per week for a period of 12 weeks. Payment beyond 12 weeks is made when documentation indicates that the patient has not reached an exit level.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Mental health.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General characteristics. To be covered, mental health services must be prescribed by a physician or certified health service provider in psychology, provided under an individualized treatment plan and reasonable and necessary for the diagnosis or treatment of the patient’s condition. This means the services must be for the purpose of diagnostic study or the services must reasonably be expected to improve the patient’s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Individualized treatment plan. The individualized written plan of treatment shall be established by a physician or certified health service provider in psychology after any needed consultation with appropriate staff members. The plan must state the type, amount, frequency and duration of the services to be furnished and indicate the diagnoses and anticipated goals. (A plan is not required if only a few brief services will be furnished.)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Supervision and evaluation. Services must be supervised and periodically evaluated by a physician, certified health service provider in psychology, or both within the scopes of their respective practices if clinically indicated to determine the extent to which treatment goals are being realized. The evaluation must be based on periodic consultation and conference with therapists and staff. The physician or certified health service provider in psychology must also provide supervision and direction to any therapist involved in the patient’s treatment and see the patient periodically to evaluate the course of treatment and to determine the extent to which treatment goals are being realized and whether changes in direction or services are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Reasonable expectation of improvement. Services must be for the purpose of diagnostic study or reasonably be expected to improve the patient’s condition. The treatment must at a minimum be designed to reduce or control the patient’s psychiatric or psychological symptoms so as to prevent relapse or hospitalization and improve or maintain the patient’s level of functioning.</w:t>
      </w:r>
    </w:p>
    <w:p>
      <w:pPr>
        <w:spacing w:before="0" w:after="0" w:line="480"/>
        <w:ind w:left="120"/>
        <w:jc w:val="both"/>
      </w:pPr>
      <w:r>
        <w:rPr>
          <w:rFonts w:ascii="Times New Roman" w:hAnsi="Times New Roman"/>
          <w:b w:val="false"/>
          <w:i w:val="false"/>
          <w:color w:val="000000"/>
          <w:sz w:val="24"/>
        </w:rPr>
        <w:t>It is not necessary that a course of therapy have as its goal restoration of the patient to the level of functioning exhibited prior to the onset of the illness although this may be appropriate for some patients. For many other patients, particularly those with long-term chronic conditions, control of symptoms and maintenance of a functional level to avoid further deterioration or hospitalization is an acceptable expectation of improvement. “Improvement” in this context is measured by comparing the effect of continuing versus discontinuing treatment. Where there is a reasonable expectation that if treatment services were withdrawn, the patient’s condition would deteriorate, relapse further, or require hospitalization, this criterion would be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Diagnostic and treatment staff. Each person who provides diagnostic or treatment services shall be determined to be competent to provide the services by reason of education, training, and experience. The number of the above staff employed by the facility must be appropriate to the facility’s patient load. The staff may be employees of the hospital, on contract, or the service may be provided through referral. The diagnostic and treatment staff shall consist of a physician, a psychologist, social workers or counselors meeting the requirements for “mental health professionals” as set forth in rule </w:t>
      </w:r>
      <w:hyperlink r:id="rId228">
        <w:r>
          <w:rPr>
            <w:rStyle w:val="Hyperlink"/>
            <w:rFonts w:ascii="Times New Roman" w:hAnsi="Times New Roman"/>
            <w:b w:val="false"/>
            <w:i w:val="false"/>
            <w:color w:val="000000"/>
            <w:sz w:val="24"/>
          </w:rPr>
          <w:t>441—24.1</w:t>
        </w:r>
      </w:hyperlink>
      <w:r>
        <w:rPr>
          <w:rFonts w:ascii="Times New Roman" w:hAnsi="Times New Roman"/>
          <w:b w:val="false"/>
          <w:i w:val="false"/>
          <w:color w:val="000000"/>
          <w:sz w:val="24"/>
        </w:rPr>
        <w:t>(225A).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Initial assessment. A comprehensive assessment of the biological, psychological, social, and spiritual orientation of the patient must be conducted,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history of the mental health problem, including age of onset, duration, patterns of symptoms, consequences of symptoms, and responses to previous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comprehensive clinical history, including the history of physical problems associated with the mental health problem. Appropriate referral for physical examination for determination of any communicable diseases.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Any history of physical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systematic mental health examination, with special emphasis on any change in cognitive, social or emotional functioning.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determination of current and past psychiatric and psychological abnormality.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 determination of any degree of danger to self or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family’s history of mental health problems.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patient’s educational level, vocational status, and job performance history.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The patient’s social support network, including family and peer relationship.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The patient’s perception of the patient’s strengths, problem areas, and dependencies.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The patient’s leisure, recreational or vocational interests and hobbies.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The patient’s ability to participate with peers in programs and social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Interview of family members and significant others, as available, with the patient’s written or verbal permission.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Legal problems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Covered services. Services covered for the treatment of psychiatric conditions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Individual and group therapy with physicians, psychologists, social workers, counselors, or psychiatric nurses.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Occupational therapy services if the services require the skills of a qualified occupational therapist and must be performed by or under the supervision of a licensed occupational therapist or by an occupational therapy assistant.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Drugs and biologicals furnished to outpatients for therapeutic purposes only if they are of the type that cannot be self-administered and are not “covered Part D drugs” as defined by </w:t>
      </w:r>
      <w:r>
        <w:rPr>
          <w:rFonts w:ascii="Times New Roman" w:hAnsi="Times New Roman"/>
          <w:b w:val="false"/>
          <w:i w:val="false"/>
          <w:color w:val="000000"/>
          <w:sz w:val="24"/>
        </w:rPr>
        <w:t>42 U.S.C.</w:t>
      </w:r>
      <w:r>
        <w:rPr>
          <w:rFonts w:ascii="Times New Roman" w:hAnsi="Times New Roman"/>
          <w:b w:val="false"/>
          <w:i w:val="false"/>
          <w:color w:val="000000"/>
          <w:sz w:val="24"/>
        </w:rPr>
        <w:t xml:space="preserve"> Section 1395w-102(e)(1)-(2) as amended to July 1, 2026, for a “Part D eligible individual” as defined in </w:t>
      </w:r>
      <w:r>
        <w:rPr>
          <w:rFonts w:ascii="Times New Roman" w:hAnsi="Times New Roman"/>
          <w:b w:val="false"/>
          <w:i w:val="false"/>
          <w:color w:val="000000"/>
          <w:sz w:val="24"/>
        </w:rPr>
        <w:t>42 U.S.C.</w:t>
      </w:r>
      <w:r>
        <w:rPr>
          <w:rFonts w:ascii="Times New Roman" w:hAnsi="Times New Roman"/>
          <w:b w:val="false"/>
          <w:i w:val="false"/>
          <w:color w:val="000000"/>
          <w:sz w:val="24"/>
        </w:rPr>
        <w:t xml:space="preserve"> Section 1395w-101(a)(3)(A) as amended to July 1, 2026, including an individual who is not enrolled in a Part D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Activity therapies that are individualized and essential for the treatment of the patient’s condition. The treatment plan must clearly justify the need for each particular therapy utilized and explain how it fits into the patient’s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Family counseling services are covered only if the primary purpose of the counseling is the treatment of the patient’s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Partial hospitalization and day treatment services to reduce or control a person’s psychiatric or psychological symptoms so as to prevent relapse or hospitalization, improve or maintain the person’s level of functioning and minimize regression. These services include all psychiatric services needed by the patient during the day.</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Partial hospitalization services means an active treatment program that provides intensive and structured support that assists persons during periods of acute psychiatric or psychological distress or during transition periods, generally following acute inpatient hospitalization episodes.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Service components may include individual and group therapy, reality orientation, stress management and medication management.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Services are provided for a period for four to eight hours per day.</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Day treatment services means structured, long-term services designed to assist in restoring, maintaining or increasing levels of functioning, minimizing regression and preventing hospitalization.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Service components include training in independent functioning skills necessary for self-care, emotional stability and psychosocial interactions, and training in medication management.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Services are structured with an emphasis on program variation according to individual need.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Services are provided for a period of three to five hours per day, three or four times per 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Partial hospitalization and day treatment for persons aged 20 or under. Payment to a hospital will be approved for day treatment services for persons aged 20 or under if the hospital is certified by the department for hospital outpatient mental health services. All conditions for the day treatment program for persons aged 20 or under as outlined in subrule </w:t>
      </w:r>
      <w:hyperlink r:id="rId229">
        <w:r>
          <w:rPr>
            <w:rStyle w:val="Hyperlink"/>
            <w:rFonts w:ascii="Times New Roman" w:hAnsi="Times New Roman"/>
            <w:b w:val="false"/>
            <w:i w:val="false"/>
            <w:color w:val="000000"/>
            <w:sz w:val="24"/>
          </w:rPr>
          <w:t>78.16(7)</w:t>
        </w:r>
      </w:hyperlink>
      <w:r>
        <w:rPr>
          <w:rFonts w:ascii="Times New Roman" w:hAnsi="Times New Roman"/>
          <w:b w:val="false"/>
          <w:i w:val="false"/>
          <w:color w:val="000000"/>
          <w:sz w:val="24"/>
        </w:rPr>
        <w:t xml:space="preserve"> for community mental health centers shall apply to hospitals. All conditions of the day treatment program for persons aged 20 or under as outlined in subrule </w:t>
      </w:r>
      <w:hyperlink r:id="rId230">
        <w:r>
          <w:rPr>
            <w:rStyle w:val="Hyperlink"/>
            <w:rFonts w:ascii="Times New Roman" w:hAnsi="Times New Roman"/>
            <w:b w:val="false"/>
            <w:i w:val="false"/>
            <w:color w:val="000000"/>
            <w:sz w:val="24"/>
          </w:rPr>
          <w:t>78.16(7)</w:t>
        </w:r>
      </w:hyperlink>
      <w:r>
        <w:rPr>
          <w:rFonts w:ascii="Times New Roman" w:hAnsi="Times New Roman"/>
          <w:b w:val="false"/>
          <w:i w:val="false"/>
          <w:color w:val="000000"/>
          <w:sz w:val="24"/>
        </w:rPr>
        <w:t xml:space="preserve"> for community mental health centers shall be applicable for the partial hospitalization program for persons aged 20 or under with the exception that the maximum hours shall be 25 hours per 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Restrictions and limitations on coverage. The following are generally not covered, except as indicated: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Activity therapies, group activities, or other services and programs that are primarily recreational or diversional in nature. Outpatient psychiatric day treatment programs that consist entirely of activity therapies are not covered.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Geriatric day-care programs, which provide social and recreational activities to older persons who need some supervision during the day while other family members are away from home. These programs are not covered because they are not considered reasonable and necessary for a diagnosed psychiatric disorder.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Vocational training. While occupational therapy may include vocational and prevocational assessment of training, when the services are related solely to specific employment opportunities, work skills, or work setting, they are not covered.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Frequency and duration of services. There are no specific limits on the length of time that services may be covered. There are many factors that affect the outcome of treatment. Among them are the nature of the illness, prior history, the goals of treatment, and the patient’s response. As long as the evidence shows that the patient continues to show improvement in accordance with the individualized treatment plan and the frequency of services is within acceptable norms of medical practice, coverage will be continued.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Documentation requirements. The provider shall develop and maintain sufficient written documentation to support each medical or remedial therapy, service, activity, or session for which billing is made. All outpatient mental health services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specific services rendered.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date and actual time the services were rendered.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Who rendered the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setting in which the services were rendered.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amount of time it took to deliver the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relationship of the services to the treatment regimen described in the plan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Updates describing the patient’s progress.</w:t>
      </w:r>
    </w:p>
    <w:p>
      <w:pPr>
        <w:spacing w:before="0" w:after="0" w:line="480"/>
        <w:ind w:left="120"/>
        <w:jc w:val="both"/>
      </w:pPr>
      <w:r>
        <w:rPr>
          <w:rFonts w:ascii="Times New Roman" w:hAnsi="Times New Roman"/>
          <w:b w:val="false"/>
          <w:i w:val="false"/>
          <w:color w:val="000000"/>
          <w:sz w:val="24"/>
        </w:rPr>
        <w:t>For services that are not specifically included in the patient’s treatment plan, a detailed explanation of how the services being billed relate to the treatment regimen and objectives contained in the patient’s plan of care and the reason for the departure from the plan shall be given.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Pain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Approval by commission on accreditation of rehabilitation facilities. In addition to certification by the department, pain management programs must also be approved by the commission on accreditation of rehabilitation facilities (CARF).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General characteristics. A chronic pain management program shall provide coordinated, goal-oriented, interdisciplinary team services to reduce pain, improve quality of life, and decrease dependence on the health care system for persons with pain which interferes with physical, psychosocial, and vocational functioning.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Treatment staff. Each person who provides treatment services shall be determined to be competent to provide the services by reason of education, training, and experience. Professional disciplines which must be represented on the treatment staff, either through employment by the facility (full-time or part-time), contract or referral, are a physician (M.D. or D.O.), a registered nurse, a licensed physical therapist and a licensed clinical psychologist or psychiatrist. The number of staff should be appropriate to the patient load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Admission criteria. Candidates for the program shall meet the following guidelines: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person must have had adequate medical evaluation and treatment in the months preceding admission to the program including an orthopedic or neurological consultation if the problem is back pain or a neurological evaluation if the underlying problem is headaches.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person must be free of any underlying psychosis or severe neurosis.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person cannot be toxic on any addictive drugs.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person must be capable of self-care, including being able to get to meals and to perform activities of daily living.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Plan of treatment. For each patient there is a written comprehensive and individualized description of treatment to be undertaken. The treatment plan is based on the problems and needs identified in the assessment and specifies the times at which the plan will be reassessed to determine current clinical problems, needs, and responses to treatment. The plan shall document: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patient’s perception of needs and, when appropriate and available, the family’s perception of the patient’s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patient’s participation in the development of the treatment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Changes in treatment are documented.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Discharge plan. For each patient before discharge, a plan for discharge is designed to provide appropriate continuity of care that meets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plan for continuing care must describe and facilitate the transfer of the patient and the responsibility for the patient’s continuing care to another phase or modality of the program, other programs, agencies, persons or to the patient and the patient’s personal support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plan is in accordance with the patient’s reassessed needs at the time of transfer.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plan is developed in collaboration with the patient and, as appropriate and available, with the patient’s written verbal permission with the family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plan is implemented in a manner acceptable to the patient and the need for confidentiality.</w:t>
      </w:r>
    </w:p>
    <w:p>
      <w:pPr>
        <w:spacing w:before="0" w:after="0" w:line="480"/>
        <w:ind w:left="120"/>
        <w:jc w:val="both"/>
      </w:pPr>
      <w:r>
        <w:rPr>
          <w:rFonts w:ascii="Times New Roman" w:hAnsi="Times New Roman"/>
          <w:b w:val="false"/>
          <w:i w:val="false"/>
          <w:color w:val="000000"/>
          <w:sz w:val="24"/>
        </w:rPr>
        <w:t>Implementation of the plan includes timely and direct communication with and transfer of information to the other programs, agencies, or persons who will be providing continuing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Restrictions and limitations on payment. Medicaid will pay for a maximum of three weeks of a structured outpatient treatment program. When documentation indicates that the patient has not reached an exit level, coverage may be extended an extra week.</w:t>
      </w:r>
    </w:p>
    <w:p>
      <w:pPr>
        <w:spacing w:before="0" w:after="0" w:line="480"/>
        <w:ind w:left="120"/>
        <w:jc w:val="both"/>
      </w:pPr>
      <w:r>
        <w:rPr>
          <w:rFonts w:ascii="Times New Roman" w:hAnsi="Times New Roman"/>
          <w:b w:val="false"/>
          <w:i w:val="false"/>
          <w:color w:val="000000"/>
          <w:sz w:val="24"/>
        </w:rPr>
        <w:t>A repeat of the entire program for any patient will be covered only if a different disease process is causing the pain or a significant change in life situation can be demonstrated.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Diabetic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General characteristics. An outpatient diabetes self-management education program shall provide instruction that will enable people with diabetes and their families to understand the diabetes disease process and the daily management of diabetes. People with diabetes must learn to balance their special diet and exercise requirements with drug therapy (insulin or oral agents). They must learn self-care techniques such as monitoring their own blood glucose. And often, they must learn to self-treat insulin reactions, protect feet that are numb and have seriously compromised circulation, and accommodate their regimen to changes in blood glucose because of stress or infections.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Program staff. Each person who provides services shall be determined to be competent to provide the services by reason of education, training and experience. Professional disciplines which must be represented on the staff, either through employment by the facility (full-time or part-time), contract or referral, are a physician (M.D. or D.O.), a registered nurse, a registered dietitian and a licensed pharmacist. The number of staff should be appropriate to the patient load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Admission criteria. Candidates for the program shall meet the following guidelines: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person must have Type I or Type II diabetes.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person must be referred by the attending physician.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person shall demonstrate an ability to follow through with self-management.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Health assessment. An individualized and documented assessment of needs shall be developed with the patient’s participation. Follow-up assessments, planning and identification of problems shall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Restrictions and limitations on payment. Medicaid will pay for a diabetic self-management education program. Diabetic education programs will include follow-up assessments at 3 and 12 months without charge.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Pulmonary rehabilitation.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General characteristics. Pulmonary rehabilitation is an individually tailored, multidisciplinary program through which accurate diagnosis, therapy, emotional support, and education stabilizes or reverses both the physio- and psychopathology of pulmonary diseases and attempts to return the patient to the highest possible functional capacity allowed by the pulmonary handicap and overall life situation.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Diagnostic and treatment staff. Each person who provides diagnostic or treatment services shall be determined to be competent to provide the services by reason of education, training, and experience.</w:t>
      </w:r>
    </w:p>
    <w:p>
      <w:pPr>
        <w:spacing w:before="0" w:after="0" w:line="480"/>
        <w:ind w:left="120"/>
        <w:jc w:val="both"/>
      </w:pPr>
      <w:r>
        <w:rPr>
          <w:rFonts w:ascii="Times New Roman" w:hAnsi="Times New Roman"/>
          <w:b w:val="false"/>
          <w:i w:val="false"/>
          <w:color w:val="000000"/>
          <w:sz w:val="24"/>
        </w:rPr>
        <w:t>Professional disciplines that must be represented by the diagnostic and treatment staff, either through employment by the facility (full-time or part-time), contract, or referral, are a physician (doctor of medicine or osteopathy), a respiratory therapist, a licensed physical therapist, and a registered nurse.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Initial assessment. A comprehensive assessment must occur initially,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diagnostic workup that entails proper identification of the patient’s specific respiratory ailment, appropriate pulmonary function studies, a chest radiograph, an electrocardiogram and, when indicated, arterial blood gas measurements at rest and during exercise, sputum analysis and blood theophylline measurements.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Behavioral considerations, including an emotional screening assessment and treatment or counseling when required, estimating the patient’s learning skills and adjusting the program to the patient’s ability, assessing family and social support, potential employment skills, employment opportunities, and community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Admission criteria. Criteria include a patient’s being diagnosed and symptomatic of chronic obstructive pulmonary disease (COPD); having cardiac stability and social, family, and financial resources; having the ability to tolerate periods of sitting time; and being a nonsmoker for six months or, if a smoker, willingness to quit and having a physician’s order to participate anyway. Factors that would make a person ineligible include acute or chronic illness that may interfere with rehabilitation, any illness or disease state that affects comprehension or retention of information, a strong history of medical noncompliance, unstable cardiac or cardiovascular problems, and orthopedic difficulties that would prohibit exercise.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Plan of treatment. Individualized long- and short-term goals will be developed for each patient. The treatment goals will be based on the problems and needs identified in the assessment and specify the regular times at which the plan will be reassessed to determine current clinical problems, needs, and responses to treatment. The patients and their families need to help determine and fully understand the goals, so that they realistically approach the treatment phase. Changes in treatment must be documented. Components of pulmonary rehabilitation to be included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Physical therapy and relaxation techniques,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Exercise conditioning or physical conditioning for those with exercise limitations,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Respiratory therapy, education, an emphasis on the importance of smoking cessation,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Nutritional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Discharge plan. Ongoing care will generally be the responsibility of the primary care physician. Periodic reassessment will be conducted to evaluate progress and allow for educational reinforcement.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Restrictions and limitations on payment. Medicaid will pay for a maximum of 25 treatment days. Payment beyond 25 days is made when documentation indicates that the patient has not reached an exit level.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Nutritional counseling. Payment will be made for persons aged 20 and under for nutritional counseling provided by a licensed dietitian employed by or under contract with a hospital for a nutritional problem or condition of a degree of severity that nutritional counseling beyond that normally expected as part of the standard medical management is warranted. For persons eligible for the WIC program, a WIC referral is required. Medical necessity for nutritional counseling services exceeding those available through WIC shall be documented.</w:t>
      </w:r>
    </w:p>
    <w:p>
      <w:pPr>
        <w:spacing w:before="210" w:after="0" w:line="480"/>
        <w:ind w:left="120"/>
        <w:jc w:val="both"/>
      </w:pPr>
      <w:r>
        <w:rPr>
          <w:rFonts w:ascii="Times New Roman" w:hAnsi="Times New Roman"/>
          <w:b/>
          <w:i w:val="false"/>
          <w:color w:val="000000"/>
          <w:sz w:val="24"/>
        </w:rPr>
        <w:t>441—78.32</w:t>
      </w:r>
      <w:r>
        <w:rPr>
          <w:rFonts w:ascii="Times New Roman" w:hAnsi="Times New Roman"/>
          <w:b/>
          <w:i w:val="false"/>
          <w:color w:val="000000"/>
          <w:sz w:val="24"/>
        </w:rPr>
        <w:t xml:space="preserve">(249A) </w:t>
      </w:r>
      <w:r>
        <w:rPr>
          <w:rFonts w:ascii="Times New Roman" w:hAnsi="Times New Roman"/>
          <w:b/>
          <w:i w:val="false"/>
          <w:color w:val="000000"/>
          <w:sz w:val="24"/>
        </w:rPr>
        <w:t xml:space="preserve">Area education agencies. </w:t>
      </w:r>
      <w:r>
        <w:rPr>
          <w:rFonts w:ascii="Times New Roman" w:hAnsi="Times New Roman"/>
          <w:b w:val="false"/>
          <w:i w:val="false"/>
          <w:color w:val="000000"/>
          <w:sz w:val="24"/>
        </w:rPr>
        <w:t>Payment will be made for physical therapy, occupational therapy, psychological evaluations and counseling, psychotherapy, speech-language therapy, and audiological, nursing, and vision services provided by an area education agency (AEA). Services shall be provided directly by the AEA or through contractual arrangement with the AEA.</w:t>
      </w:r>
    </w:p>
    <w:p>
      <w:pPr>
        <w:spacing w:before="0" w:after="0" w:line="480"/>
        <w:ind w:left="120"/>
        <w:jc w:val="both"/>
      </w:pPr>
      <w:r>
        <w:rPr>
          <w:rFonts w:ascii="Times New Roman" w:hAnsi="Times New Roman"/>
          <w:b/>
          <w:i w:val="false"/>
          <w:color w:val="000000"/>
          <w:sz w:val="24"/>
        </w:rPr>
        <w:t>441—78.33</w:t>
      </w:r>
      <w:r>
        <w:rPr>
          <w:rFonts w:ascii="Times New Roman" w:hAnsi="Times New Roman"/>
          <w:b/>
          <w:i w:val="false"/>
          <w:color w:val="000000"/>
          <w:sz w:val="24"/>
        </w:rPr>
        <w:t xml:space="preserve">(249A) </w:t>
      </w:r>
      <w:r>
        <w:rPr>
          <w:rFonts w:ascii="Times New Roman" w:hAnsi="Times New Roman"/>
          <w:b/>
          <w:i w:val="false"/>
          <w:color w:val="000000"/>
          <w:sz w:val="24"/>
        </w:rPr>
        <w:t xml:space="preserve">Case management services. </w:t>
      </w:r>
      <w:r>
        <w:rPr>
          <w:rFonts w:ascii="Times New Roman" w:hAnsi="Times New Roman"/>
          <w:b w:val="false"/>
          <w:i w:val="false"/>
          <w:color w:val="000000"/>
          <w:sz w:val="24"/>
        </w:rPr>
        <w:t xml:space="preserve">Payment will be approved for targeted case management services that are provided pursuant to </w:t>
      </w:r>
      <w:hyperlink r:id="rId231">
        <w:r>
          <w:rPr>
            <w:rStyle w:val="Hyperlink"/>
            <w:rFonts w:ascii="Times New Roman" w:hAnsi="Times New Roman"/>
            <w:b w:val="false"/>
            <w:i w:val="false"/>
            <w:color w:val="000000"/>
            <w:sz w:val="24"/>
          </w:rPr>
          <w:t>441—Chapter 90</w:t>
        </w:r>
      </w:hyperlink>
      <w:r>
        <w:rPr>
          <w:rFonts w:ascii="Times New Roman" w:hAnsi="Times New Roman"/>
          <w:b w:val="false"/>
          <w:i w:val="false"/>
          <w:color w:val="000000"/>
          <w:sz w:val="24"/>
        </w:rPr>
        <w:t xml:space="preserve"> to:</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 xml:space="preserve">Members who are 18 years of age or over and have a primary diagnosis of intellectual disability, developmental disabilities, or chronic mental illness as defined in rule </w:t>
      </w:r>
      <w:hyperlink r:id="rId232">
        <w:r>
          <w:rPr>
            <w:rStyle w:val="Hyperlink"/>
            <w:rFonts w:ascii="Times New Roman" w:hAnsi="Times New Roman"/>
            <w:b w:val="false"/>
            <w:i w:val="false"/>
            <w:color w:val="000000"/>
            <w:sz w:val="24"/>
          </w:rPr>
          <w:t>441—90.1</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Members who are under 18 years of age and are eligible to receive services under the HCBS intellectual disability waiver or children’s mental health waiver.</w:t>
      </w:r>
    </w:p>
    <w:p>
      <w:pPr>
        <w:spacing w:before="0" w:after="0" w:line="480"/>
        <w:ind w:left="120"/>
        <w:jc w:val="both"/>
      </w:pPr>
      <w:r>
        <w:rPr>
          <w:rFonts w:ascii="Times New Roman" w:hAnsi="Times New Roman"/>
          <w:b/>
          <w:i w:val="false"/>
          <w:color w:val="000000"/>
          <w:sz w:val="24"/>
        </w:rPr>
        <w:t>441—78.34</w:t>
      </w:r>
      <w:r>
        <w:rPr>
          <w:rFonts w:ascii="Times New Roman" w:hAnsi="Times New Roman"/>
          <w:b/>
          <w:i w:val="false"/>
          <w:color w:val="000000"/>
          <w:sz w:val="24"/>
        </w:rPr>
        <w:t xml:space="preserve">(249A) </w:t>
      </w:r>
      <w:r>
        <w:rPr>
          <w:rFonts w:ascii="Times New Roman" w:hAnsi="Times New Roman"/>
          <w:b/>
          <w:i w:val="false"/>
          <w:color w:val="000000"/>
          <w:sz w:val="24"/>
        </w:rPr>
        <w:t xml:space="preserve">HCBS health and disability waiver services. </w:t>
      </w:r>
      <w:r>
        <w:rPr>
          <w:rFonts w:ascii="Times New Roman" w:hAnsi="Times New Roman"/>
          <w:b w:val="false"/>
          <w:i w:val="false"/>
          <w:color w:val="000000"/>
          <w:sz w:val="24"/>
        </w:rPr>
        <w:t xml:space="preserve">Payment will be approved for the following services to members eligible for HCBS health and disability waiver services as established in </w:t>
      </w:r>
      <w:hyperlink r:id="rId233">
        <w:r>
          <w:rPr>
            <w:rStyle w:val="Hyperlink"/>
            <w:rFonts w:ascii="Times New Roman" w:hAnsi="Times New Roman"/>
            <w:b w:val="false"/>
            <w:i w:val="false"/>
            <w:color w:val="000000"/>
            <w:sz w:val="24"/>
          </w:rPr>
          <w:t>441—Chapter 83</w:t>
        </w:r>
      </w:hyperlink>
      <w:r>
        <w:rPr>
          <w:rFonts w:ascii="Times New Roman" w:hAnsi="Times New Roman"/>
          <w:b w:val="false"/>
          <w:i w:val="false"/>
          <w:color w:val="000000"/>
          <w:sz w:val="24"/>
        </w:rPr>
        <w:t xml:space="preserve"> and as identified in the member’s service plan. Payment will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 For the purposes of this rule, “HCBS Provider Manual” means the department’s manual that outlines provider-specific policies applicable to providers of HCBS services. The manual is available on the department’s website. All references to the HCBS Provider Manual herein are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78.34(1)</w:t>
      </w:r>
      <w:r>
        <w:rPr>
          <w:rFonts w:ascii="Times New Roman" w:hAnsi="Times New Roman"/>
          <w:b w:val="false"/>
          <w:i w:val="false"/>
          <w:color w:val="000000"/>
          <w:sz w:val="24"/>
        </w:rPr>
        <w:t> </w:t>
      </w:r>
      <w:r>
        <w:rPr>
          <w:rFonts w:ascii="Times New Roman" w:hAnsi="Times New Roman"/>
          <w:b w:val="false"/>
          <w:i/>
          <w:color w:val="000000"/>
          <w:sz w:val="24"/>
        </w:rPr>
        <w:t xml:space="preserve">Home maintenance support services. </w:t>
      </w:r>
      <w:r>
        <w:rPr>
          <w:rFonts w:ascii="Times New Roman" w:hAnsi="Times New Roman"/>
          <w:b w:val="false"/>
          <w:i w:val="false"/>
          <w:color w:val="000000"/>
          <w:sz w:val="24"/>
        </w:rPr>
        <w:t>Home maintenance support services encompass assistance required to maintain the participant’s home as a clean, sanitary, and safe environment, provided when neither the participant nor any household person is capable of performing these tasks and no other relative, caregiver, or landlord is responsible for them. These services are particularly essential when the participant lives alone or when the usual caregiver needs support in performing these functions. “Usual caregiver” means an unpaid person who resides with the member and is available on a 24-hour per-day basis to assume responsibility for the care of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These may involve tasks such 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Essential shopping, such as shopping for basic need items such as food, clothing or personal care items, or drugs.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Limited housecleaning, such as maintenance cleaning such as vacuuming, dusting, scrubbing floors, defrosting refrigerators, cleaning stoves, cleaning medical equipment, washing and mending clothes, washing personal items used by the client, and washing dishes.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Window and door maintenance, such as hanging screen windows and doors, replacing window panes, and washing windows.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Minor repairs to walls, floors, stairs, railings, and handles.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Heavy cleaning, such as cleaning attics or basements to remove fire hazards, moving heavy furniture, extensive wall washing, floor care or painting and trash removal.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Mowing lawns and removing snow and ice from sidewalks and driveways.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Tree or bush trimming when the tree or bush impairs safe navigation of the exterior of the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Pest eradication and one-time cleaning following the pest eradication necessary for the person’s health and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Excluded services and costs. Services, activities, costs, and time that are not covered include but are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Tree trimming.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Trash burning.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Tree removal.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78.34(2)</w:t>
      </w:r>
      <w:r>
        <w:rPr>
          <w:rFonts w:ascii="Times New Roman" w:hAnsi="Times New Roman"/>
          <w:b w:val="false"/>
          <w:i w:val="false"/>
          <w:color w:val="000000"/>
          <w:sz w:val="24"/>
        </w:rPr>
        <w:t> </w:t>
      </w:r>
      <w:r>
        <w:rPr>
          <w:rFonts w:ascii="Times New Roman" w:hAnsi="Times New Roman"/>
          <w:b w:val="false"/>
          <w:i/>
          <w:color w:val="000000"/>
          <w:sz w:val="24"/>
        </w:rPr>
        <w:t xml:space="preserve">Home health aide services. </w:t>
      </w:r>
      <w:r>
        <w:rPr>
          <w:rFonts w:ascii="Times New Roman" w:hAnsi="Times New Roman"/>
          <w:b w:val="false"/>
          <w:i w:val="false"/>
          <w:color w:val="000000"/>
          <w:sz w:val="24"/>
        </w:rPr>
        <w:t xml:space="preserve">Home health aide services are an extension of the state plan and are personal or direct care services provided to the member in the member’s home that are not otherwise payable under Medicaid as set forth in rule </w:t>
      </w:r>
      <w:hyperlink r:id="rId234">
        <w:r>
          <w:rPr>
            <w:rStyle w:val="Hyperlink"/>
            <w:rFonts w:ascii="Times New Roman" w:hAnsi="Times New Roman"/>
            <w:b w:val="false"/>
            <w:i w:val="false"/>
            <w:color w:val="000000"/>
            <w:sz w:val="24"/>
          </w:rPr>
          <w:t>441—78.9</w:t>
        </w:r>
      </w:hyperlink>
      <w:r>
        <w:rPr>
          <w:rFonts w:ascii="Times New Roman" w:hAnsi="Times New Roman"/>
          <w:b w:val="false"/>
          <w:i w:val="false"/>
          <w:color w:val="000000"/>
          <w:sz w:val="24"/>
        </w:rPr>
        <w:t>(249A). A unit of service is a visit. A visit is defined as 15 minutes to 120 minutes.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Components of the service include but are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Observation and reporting of physical or emotional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Helping a member with bath, shampoo, or oral hygiene.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Helping a member with toileting.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Helping a member in and out of bed and with ambulation.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Helping a member reestablish activities of daily living.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Assisting with oral medications ordered by the physician that are ordinarily self-administered.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Performing incidental household services that are essential to the member’s health care at home and are necessary to prevent or postpone institutionalization in order to complete a full unit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some cases, a nurse may provide home health services if the health of the client is such that the agency is unable to place an aide in that situation due to limitations by state law or in the event that the agency’s Medicare certification requirements prohibit the aide from providing the service. It is not permitted for the convenience of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Skilled nursing care is not covered.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78.34(3)</w:t>
      </w:r>
      <w:r>
        <w:rPr>
          <w:rFonts w:ascii="Times New Roman" w:hAnsi="Times New Roman"/>
          <w:b w:val="false"/>
          <w:i w:val="false"/>
          <w:color w:val="000000"/>
          <w:sz w:val="24"/>
        </w:rPr>
        <w:t> </w:t>
      </w:r>
      <w:r>
        <w:rPr>
          <w:rFonts w:ascii="Times New Roman" w:hAnsi="Times New Roman"/>
          <w:b w:val="false"/>
          <w:i/>
          <w:color w:val="000000"/>
          <w:sz w:val="24"/>
        </w:rPr>
        <w:t xml:space="preserve">Adult day care services. </w:t>
      </w:r>
      <w:r>
        <w:rPr>
          <w:rFonts w:ascii="Times New Roman" w:hAnsi="Times New Roman"/>
          <w:b w:val="false"/>
          <w:i w:val="false"/>
          <w:color w:val="000000"/>
          <w:sz w:val="24"/>
        </w:rPr>
        <w:t>Adult day care services provide an organized program of supportive care in a group or an individual’s home environment to persons who need a degree of supervision and assistance on a regular or intermittent basis in a day care center or in the home due to the absence of the primary caregiver.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Supports provided during day care are protective oversight, supervision, and support with activities of daily living (ADLs) and instrumental activities of daily living (IADLs). Included are personal care (i.e., ambulation, toileting, feeding, assisting with medications), behavioral support, or intermittent health-related cares not otherwise paid under other waiver or state plan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unit of service is 15 minutes (up to four units per day), a half day (1.25 to 4 hours per day), a full day (4.25 to 8 hours per day), or an extended day (8.25 to 12 hours per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78.34(4)</w:t>
      </w:r>
      <w:r>
        <w:rPr>
          <w:rFonts w:ascii="Times New Roman" w:hAnsi="Times New Roman"/>
          <w:b w:val="false"/>
          <w:i w:val="false"/>
          <w:color w:val="000000"/>
          <w:sz w:val="24"/>
        </w:rPr>
        <w:t> </w:t>
      </w:r>
      <w:r>
        <w:rPr>
          <w:rFonts w:ascii="Times New Roman" w:hAnsi="Times New Roman"/>
          <w:b w:val="false"/>
          <w:i/>
          <w:color w:val="000000"/>
          <w:sz w:val="24"/>
        </w:rPr>
        <w:t xml:space="preserve">Nursing care services. </w:t>
      </w:r>
      <w:r>
        <w:rPr>
          <w:rFonts w:ascii="Times New Roman" w:hAnsi="Times New Roman"/>
          <w:b w:val="false"/>
          <w:i w:val="false"/>
          <w:color w:val="000000"/>
          <w:sz w:val="24"/>
        </w:rPr>
        <w:t>Nursing care services are services that are included in the plan of treatment approved by the physician and that are provided by licensed nurses to members in the home and community. The services shall be reasonable and necessary to the treatment of an illness or injury and include all nursing tasks recognized by the Iowa board of nursing. A unit of service is a visit.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78.34(5)</w:t>
      </w:r>
      <w:r>
        <w:rPr>
          <w:rFonts w:ascii="Times New Roman" w:hAnsi="Times New Roman"/>
          <w:b w:val="false"/>
          <w:i w:val="false"/>
          <w:color w:val="000000"/>
          <w:sz w:val="24"/>
        </w:rPr>
        <w:t> </w:t>
      </w:r>
      <w:r>
        <w:rPr>
          <w:rFonts w:ascii="Times New Roman" w:hAnsi="Times New Roman"/>
          <w:b w:val="false"/>
          <w:i/>
          <w:color w:val="000000"/>
          <w:sz w:val="24"/>
        </w:rPr>
        <w:t xml:space="preserve">Respite care services. </w:t>
      </w:r>
      <w:r>
        <w:rPr>
          <w:rFonts w:ascii="Times New Roman" w:hAnsi="Times New Roman"/>
          <w:b w:val="false"/>
          <w:i w:val="false"/>
          <w:color w:val="000000"/>
          <w:sz w:val="24"/>
        </w:rPr>
        <w:t>Respite care services are services provided to the member that give temporary relief to the usual caregiver and provide all the necessary care that the usual caregiver would provide during that period. The purpose of respite care is to enable the member to remain in the member’s current living situation.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Services provided outside the member’s home shall not be reimbursable if the living unit where respite is provided is reserved for another person on a temporary leave of absence.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Member-to-staff ratios shall be appropriate to the individual needs of the member as determined by the member’s interdisciplinary team.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unit of service is 15 minutes.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Respite care is not to be provided to members during the hours in which the usual caregiver is employed except when the member is attending a 24-hour residential camp. Respite care shall not be used as a substitute for a child’s day care. Respite cannot be provided to a member whose usual caregiver is an attendant care or supported community living provider for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interdisciplinary team shall determine if the member will receive basic individual respite, specialized respite, or group respite as defined in </w:t>
      </w:r>
      <w:hyperlink r:id="rId235">
        <w:r>
          <w:rPr>
            <w:rStyle w:val="Hyperlink"/>
            <w:rFonts w:ascii="Times New Roman" w:hAnsi="Times New Roman"/>
            <w:b w:val="false"/>
            <w:i w:val="false"/>
            <w:color w:val="000000"/>
            <w:sz w:val="24"/>
          </w:rPr>
          <w:t>441—Chapter 83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maximum of 14 consecutive days of 24-hour respite care may be reimbursed.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Respite services provided for a period exceeding 24 consecutive hours to three or more individuals who require nursing care because of a mental or physical condition must be provided by a health care facility licensed as described in Iowa Code chapter </w:t>
      </w:r>
      <w:hyperlink r:id="rId236">
        <w:r>
          <w:rPr>
            <w:rStyle w:val="Hyperlink"/>
            <w:rFonts w:ascii="Times New Roman" w:hAnsi="Times New Roman"/>
            <w:b w:val="false"/>
            <w:i w:val="false"/>
            <w:color w:val="000000"/>
            <w:sz w:val="24"/>
          </w:rPr>
          <w:t>135C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Respite services shall not be provided simultaneously with other residential, nursing, or home health aide services provided through the medical assistance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78.34(6)</w:t>
      </w:r>
      <w:r>
        <w:rPr>
          <w:rFonts w:ascii="Times New Roman" w:hAnsi="Times New Roman"/>
          <w:b w:val="false"/>
          <w:i w:val="false"/>
          <w:color w:val="000000"/>
          <w:sz w:val="24"/>
        </w:rPr>
        <w:t> </w:t>
      </w:r>
      <w:r>
        <w:rPr>
          <w:rFonts w:ascii="Times New Roman" w:hAnsi="Times New Roman"/>
          <w:b w:val="false"/>
          <w:i/>
          <w:color w:val="000000"/>
          <w:sz w:val="24"/>
        </w:rPr>
        <w:t xml:space="preserve">Counseling services. </w:t>
      </w:r>
      <w:r>
        <w:rPr>
          <w:rFonts w:ascii="Times New Roman" w:hAnsi="Times New Roman"/>
          <w:b w:val="false"/>
          <w:i w:val="false"/>
          <w:color w:val="000000"/>
          <w:sz w:val="24"/>
        </w:rPr>
        <w:t xml:space="preserve">Counseling services are face-to-face mental health and substance use disorder services provided to the member and caregiver by a mental health professional as defined in rule </w:t>
      </w:r>
      <w:hyperlink r:id="rId237">
        <w:r>
          <w:rPr>
            <w:rStyle w:val="Hyperlink"/>
            <w:rFonts w:ascii="Times New Roman" w:hAnsi="Times New Roman"/>
            <w:b w:val="false"/>
            <w:i w:val="false"/>
            <w:color w:val="000000"/>
            <w:sz w:val="24"/>
          </w:rPr>
          <w:t>441—24.1</w:t>
        </w:r>
      </w:hyperlink>
      <w:r>
        <w:rPr>
          <w:rFonts w:ascii="Times New Roman" w:hAnsi="Times New Roman"/>
          <w:b w:val="false"/>
          <w:i w:val="false"/>
          <w:color w:val="000000"/>
          <w:sz w:val="24"/>
        </w:rPr>
        <w:t>(225A) to facilitate home management of the member and prevent institutionalization. Counseling services are nonpsychiatric services necessary for the management of depression, assistance with the grief process, alleviation of psychosocial isolation and support in coping with a disability or illness, including terminal illness. Counseling services may be provided both for the purpose of training the member’s family or other caregiver to provide care and for the purpose of helping the member and those caring for the member to adjust to the member’s disability or terminal condition. Counseling services may be provided to the member’s caregiver only when included in the case plan for the member.</w:t>
      </w:r>
    </w:p>
    <w:p>
      <w:pPr>
        <w:spacing w:before="0" w:after="0" w:line="480"/>
        <w:ind w:left="120"/>
        <w:jc w:val="both"/>
      </w:pPr>
      <w:r>
        <w:rPr>
          <w:rFonts w:ascii="Times New Roman" w:hAnsi="Times New Roman"/>
          <w:b w:val="false"/>
          <w:i w:val="false"/>
          <w:color w:val="000000"/>
          <w:sz w:val="24"/>
        </w:rPr>
        <w:t>Payment will be made for individual and group counseling. A unit of individual counseling for the waiver member or the waiver member and the member’s caregiver is 15 minutes. A unit of group counseling is 15 minutes. Payment for group counseling is based on the group rate divided by six, or, if the number of persons who comprise the group exceeds six, the actual number of persons who comprise the group.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78.34(7)</w:t>
      </w:r>
      <w:r>
        <w:rPr>
          <w:rFonts w:ascii="Times New Roman" w:hAnsi="Times New Roman"/>
          <w:b w:val="false"/>
          <w:i w:val="false"/>
          <w:color w:val="000000"/>
          <w:sz w:val="24"/>
        </w:rPr>
        <w:t> </w:t>
      </w:r>
      <w:r>
        <w:rPr>
          <w:rFonts w:ascii="Times New Roman" w:hAnsi="Times New Roman"/>
          <w:b w:val="false"/>
          <w:i/>
          <w:color w:val="000000"/>
          <w:sz w:val="24"/>
        </w:rPr>
        <w:t xml:space="preserve">Attendant care service. </w:t>
      </w:r>
      <w:r>
        <w:rPr>
          <w:rFonts w:ascii="Times New Roman" w:hAnsi="Times New Roman"/>
          <w:b w:val="false"/>
          <w:i w:val="false"/>
          <w:color w:val="000000"/>
          <w:sz w:val="24"/>
        </w:rPr>
        <w:t xml:space="preserve">Attendant care services are service activities performed by a person to help a member with self-care tasks that the member would typically do independently if the member were otherwise able. Covered service activities are limited to the nonskilled activities listed in paragraph </w:t>
      </w:r>
      <w:hyperlink r:id="rId238">
        <w:r>
          <w:rPr>
            <w:rStyle w:val="Hyperlink"/>
            <w:rFonts w:ascii="Times New Roman" w:hAnsi="Times New Roman"/>
            <w:b w:val="false"/>
            <w:i w:val="false"/>
            <w:color w:val="000000"/>
            <w:sz w:val="24"/>
          </w:rPr>
          <w:t>78.34(7)</w:t>
        </w:r>
        <w:r>
          <w:rPr>
            <w:rFonts w:ascii="Times New Roman" w:hAnsi="Times New Roman"/>
            <w:b w:val="false"/>
            <w:i/>
            <w:color w:val="000000"/>
            <w:sz w:val="24"/>
          </w:rPr>
          <w:t>“f”</w:t>
        </w:r>
      </w:hyperlink>
      <w:r>
        <w:rPr>
          <w:rFonts w:ascii="Times New Roman" w:hAnsi="Times New Roman"/>
          <w:b w:val="false"/>
          <w:i w:val="false"/>
          <w:color w:val="000000"/>
          <w:sz w:val="24"/>
        </w:rPr>
        <w:t xml:space="preserve"> and the skilled activities listed in paragraph </w:t>
      </w:r>
      <w:hyperlink r:id="rId239">
        <w:r>
          <w:rPr>
            <w:rStyle w:val="Hyperlink"/>
            <w:rFonts w:ascii="Times New Roman" w:hAnsi="Times New Roman"/>
            <w:b w:val="false"/>
            <w:i w:val="false"/>
            <w:color w:val="000000"/>
            <w:sz w:val="24"/>
          </w:rPr>
          <w:t>78.34(7)</w:t>
        </w:r>
        <w:r>
          <w:rPr>
            <w:rFonts w:ascii="Times New Roman" w:hAnsi="Times New Roman"/>
            <w:b w:val="false"/>
            <w:i/>
            <w:color w:val="000000"/>
            <w:sz w:val="24"/>
          </w:rPr>
          <w:t>“g.”</w:t>
        </w:r>
      </w:hyperlink>
      <w:r>
        <w:rPr>
          <w:rFonts w:ascii="Times New Roman" w:hAnsi="Times New Roman"/>
          <w:b w:val="false"/>
          <w:i w:val="false"/>
          <w:color w:val="000000"/>
          <w:sz w:val="24"/>
        </w:rPr>
        <w:t xml:space="preserve"> Covered service activities must be essential to the health, safety, and welfare of the member. Services may be provided in the absence of a parent or guardian if the parent or guardian has given advance direction for the service provision.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Service planning.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member, parent, guardian, or attorney in fact under a durable power of attorney for health care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Select the individual or agency that will provide the components of the attendant care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Determine with the selected provider what components of attendant care services the provider shall perform, subject to confirmation by the service worker or case manager that those components are consistent with the assessment and are authorized covered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Complete, sign, and date an HCBS Attendant Care Agreement to indicate the frequency, scope, and duration of services (a description of each service component and the time agreed on for that component). The case manager or service worker and provider shall also sign the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Submit the completed agreement to the service worker or case manager. The agreement shall be part of the member’s service plan and shall be kept in the member’s records, in the provider’s records, and in the service worker’s or case manager’s records. Any service component that is not listed in the agreement shall not be payable.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Whenever a legal representative acts as a provider of attendant care as allowed by </w:t>
      </w:r>
      <w:hyperlink r:id="rId240">
        <w:r>
          <w:rPr>
            <w:rStyle w:val="Hyperlink"/>
            <w:rFonts w:ascii="Times New Roman" w:hAnsi="Times New Roman"/>
            <w:b w:val="false"/>
            <w:i w:val="false"/>
            <w:color w:val="000000"/>
            <w:sz w:val="24"/>
          </w:rPr>
          <w:t>441—paragraph 79.9(7)</w:t>
        </w:r>
        <w:r>
          <w:rPr>
            <w:rFonts w:ascii="Times New Roman" w:hAnsi="Times New Roman"/>
            <w:b w:val="false"/>
            <w:i/>
            <w:color w:val="000000"/>
            <w:sz w:val="24"/>
          </w:rPr>
          <w:t>“b,”</w:t>
        </w:r>
      </w:hyperlink>
      <w:r>
        <w:rPr>
          <w:rFonts w:ascii="Times New Roman" w:hAnsi="Times New Roman"/>
          <w:b w:val="false"/>
          <w:i w:val="false"/>
          <w:color w:val="000000"/>
          <w:sz w:val="24"/>
        </w:rPr>
        <w:t xml:space="preserve"> the following apply: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payment rate for the legal representative must be based on the skill level of the legal representative and may not exceed the median statewide reimbursement rate for the service unless the higher rate receives prior approval from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legal representative may not be paid for more than 40 hours of service per week;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contingency plan must be established in the member’s service plan to ensure service delivery in the event the legal representative is unable to provide services due to illness or other unexpected event.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Supervision of skilled services. </w:t>
      </w:r>
      <w:r>
        <w:rPr>
          <w:rFonts w:ascii="Times New Roman" w:hAnsi="Times New Roman"/>
          <w:b w:val="false"/>
          <w:i w:val="false"/>
          <w:color w:val="000000"/>
          <w:sz w:val="24"/>
        </w:rPr>
        <w:t>Skilled attendant care services shall be provided under the supervision of the member’s physician or a licensed nurse or licensed therapist working under the direction of the member’s physician. The licensed nurse or therapist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Retain accountability for actions that are delegated.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Ensure appropriate assessment, planning, implementation, and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Make on-site supervisory visits every two weeks with the service provider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Service documentation. </w:t>
      </w:r>
      <w:r>
        <w:rPr>
          <w:rFonts w:ascii="Times New Roman" w:hAnsi="Times New Roman"/>
          <w:b w:val="false"/>
          <w:i w:val="false"/>
          <w:color w:val="000000"/>
          <w:sz w:val="24"/>
        </w:rPr>
        <w:t xml:space="preserve">The attendant care provider shall document evidence of compliance with the requirements of this chapter and rule </w:t>
      </w:r>
      <w:hyperlink r:id="rId241">
        <w:r>
          <w:rPr>
            <w:rStyle w:val="Hyperlink"/>
            <w:rFonts w:ascii="Times New Roman" w:hAnsi="Times New Roman"/>
            <w:b w:val="false"/>
            <w:i w:val="false"/>
            <w:color w:val="000000"/>
            <w:sz w:val="24"/>
          </w:rPr>
          <w:t>441—79.3</w:t>
        </w:r>
      </w:hyperlink>
      <w:r>
        <w:rPr>
          <w:rFonts w:ascii="Times New Roman" w:hAnsi="Times New Roman"/>
          <w:b w:val="false"/>
          <w:i w:val="false"/>
          <w:color w:val="000000"/>
          <w:sz w:val="24"/>
        </w:rPr>
        <w:t xml:space="preserve">(249A). The documentation or copies of the documentation must be maintained or be electronically accessible by the provider. Providers must use an electronic visit verification system that captures all documentation requirements of the Attendant Care Service Record or use a form prescribed by the department. Any service component that is not documented in accordance with rule </w:t>
      </w:r>
      <w:hyperlink r:id="rId242">
        <w:r>
          <w:rPr>
            <w:rStyle w:val="Hyperlink"/>
            <w:rFonts w:ascii="Times New Roman" w:hAnsi="Times New Roman"/>
            <w:b w:val="false"/>
            <w:i w:val="false"/>
            <w:color w:val="000000"/>
            <w:sz w:val="24"/>
          </w:rPr>
          <w:t>441—79.3</w:t>
        </w:r>
      </w:hyperlink>
      <w:r>
        <w:rPr>
          <w:rFonts w:ascii="Times New Roman" w:hAnsi="Times New Roman"/>
          <w:b w:val="false"/>
          <w:i w:val="false"/>
          <w:color w:val="000000"/>
          <w:sz w:val="24"/>
        </w:rPr>
        <w:t>(249A) will not be payable.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Role of guardian or attorney. </w:t>
      </w:r>
      <w:r>
        <w:rPr>
          <w:rFonts w:ascii="Times New Roman" w:hAnsi="Times New Roman"/>
          <w:b w:val="false"/>
          <w:i w:val="false"/>
          <w:color w:val="000000"/>
          <w:sz w:val="24"/>
        </w:rPr>
        <w:t>If the member has a guardian or attorney in fact under a durable power of attorney for health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service worker’s or case manager’s service plan shall address how attendant care services will be monitored to ensure that the member’s needs are being adequately met. If the guardian or attorney in fact is the service provider, the service plan shall address how the service worker or case manager shall oversee service provision.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guardian or attorney in fact shall sign the claim form in place of the member, indicating that the service has been provided as presented on the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Service units and billing. </w:t>
      </w:r>
      <w:r>
        <w:rPr>
          <w:rFonts w:ascii="Times New Roman" w:hAnsi="Times New Roman"/>
          <w:b w:val="false"/>
          <w:i w:val="false"/>
          <w:color w:val="000000"/>
          <w:sz w:val="24"/>
        </w:rPr>
        <w:t>A unit of service is 15 minutes provided by an agency. Each service shall be billed in whole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Nonskilled services. </w:t>
      </w:r>
      <w:r>
        <w:rPr>
          <w:rFonts w:ascii="Times New Roman" w:hAnsi="Times New Roman"/>
          <w:b w:val="false"/>
          <w:i w:val="false"/>
          <w:color w:val="000000"/>
          <w:sz w:val="24"/>
        </w:rPr>
        <w:t>Covered nonskilled service activities are limited to help with the following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Dressing.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Bathing, shampooing, hygiene, and grooming.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Access to and from bed or a wheelchair, transferring, ambulation, and mobility in general.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Toileting, including bowel, bladder, and catheter assistance (emptying the catheter bag, collecting a specimen, and cleaning the external area around the catheter).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Meal preparation, cooking, and assistance with feeding, not including the cost of meals themselves. Meal preparation and cooking shall be provided only in the member’s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Housekeeping, laundry, and shopping essential to the member’s health care at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Taking medications ordinarily self-administered, including those ordered by a physician or other qualified health care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Minor wound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Going to or returning from a place of employment and job-related tasks while the member is on the job site. Transportation for the member and assistance with understanding or performing the essential job functions are not included in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Tasks, such as financial management and scheduling, that require cognitive or physical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Communication essential to the health and welfare of the member, through interpreting and reading services and use of assistive devices for communication.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Using transportation essential to the health and welfare of the member. The cost of the transportation is not included.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Skilled services. </w:t>
      </w:r>
      <w:r>
        <w:rPr>
          <w:rFonts w:ascii="Times New Roman" w:hAnsi="Times New Roman"/>
          <w:b w:val="false"/>
          <w:i w:val="false"/>
          <w:color w:val="000000"/>
          <w:sz w:val="24"/>
        </w:rPr>
        <w:t>Covered skilled attendant care service activities are limited to help with the following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Tube feedings of members unable to eat solid foods.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Intravenous therapy administered by a registered nurse.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Parenteral injections required more than once a 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Catheterizations, continuing care of indwelling catheters with supervision of irrigations, and changing of Foley catheters when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Respiratory care including inhalation therapy and tracheotomy care or tracheotomy care and ventilator.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Care of decubiti and other ulcerated areas, noting and reporting to the nurse or therapist.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Rehabilitation services including but not limited to bowel and bladder training, range of motion exercises, ambulation training, restorative nursing services, respiratory care and breathing programs, reality orientation, reminiscing therapy, remotivation, behavior modification, and reteaching of the activities of daily living.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Colostomy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Care of uncontrolled medical conditions, such as brittle diabetes, and comfort care of terminal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Postsurgical nursing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Monitoring medications requiring close supervision because of fluctuating physical or psychological conditions, e.g., antihypertensives, digitalis preparations, mood-altering or psychotropic drugs, or narcotics.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Preparing and monitoring response to therapeutic diets.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Recording and reporting of changes in vital signs to the nurse or therapist.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Excluded services and costs. </w:t>
      </w:r>
      <w:r>
        <w:rPr>
          <w:rFonts w:ascii="Times New Roman" w:hAnsi="Times New Roman"/>
          <w:b w:val="false"/>
          <w:i w:val="false"/>
          <w:color w:val="000000"/>
          <w:sz w:val="24"/>
        </w:rPr>
        <w:t>Services, activities, costs and time that are not covered as attendant care include the following (not an exclusive list):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Any activity related to supervising a member. Only direct services are billable.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Any activity that the member is able to perform.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Costs of food.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Costs for the supervision of skilled services by the nurse or therapist. The supervising nurse or therapist may be paid from private insurance, Medicare, or other third-party payment sources, or may be paid as another Medicaid service, including early and periodic screening, diagnosis and treatment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Exercise that does not require skilled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Parenting or child care for or on behalf of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Reminders and cueing.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Services provided simultaneously with any other similar service regardless of funding source, including other waiver services and state supplementary assistance in-home health-related care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Transportation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Wait times for any activity.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78.34(8)</w:t>
      </w:r>
      <w:r>
        <w:rPr>
          <w:rFonts w:ascii="Times New Roman" w:hAnsi="Times New Roman"/>
          <w:b w:val="false"/>
          <w:i w:val="false"/>
          <w:color w:val="000000"/>
          <w:sz w:val="24"/>
        </w:rPr>
        <w:t> </w:t>
      </w:r>
      <w:r>
        <w:rPr>
          <w:rFonts w:ascii="Times New Roman" w:hAnsi="Times New Roman"/>
          <w:b w:val="false"/>
          <w:i/>
          <w:color w:val="000000"/>
          <w:sz w:val="24"/>
        </w:rPr>
        <w:t xml:space="preserve">Interim medical monitoring and treatment services. </w:t>
      </w:r>
      <w:r>
        <w:rPr>
          <w:rFonts w:ascii="Times New Roman" w:hAnsi="Times New Roman"/>
          <w:b w:val="false"/>
          <w:i w:val="false"/>
          <w:color w:val="000000"/>
          <w:sz w:val="24"/>
        </w:rPr>
        <w:t>Interim medical monitoring and treatment (IMMT) services are monitoring and treatment of a medical nature requiring specially trained caregivers beyond what is normally available in a day care setting for medical needs that make alternative care unavailable, inadequate, or insufficient. IMMT services are not intended to provide day care but to supplement available resources. Services must be ordered by a physician.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Need for service. The member must be currently receiving home health agency services under rule </w:t>
      </w:r>
      <w:hyperlink r:id="rId243">
        <w:r>
          <w:rPr>
            <w:rStyle w:val="Hyperlink"/>
            <w:rFonts w:ascii="Times New Roman" w:hAnsi="Times New Roman"/>
            <w:b w:val="false"/>
            <w:i w:val="false"/>
            <w:color w:val="000000"/>
            <w:sz w:val="24"/>
          </w:rPr>
          <w:t>441—78.9</w:t>
        </w:r>
      </w:hyperlink>
      <w:r>
        <w:rPr>
          <w:rFonts w:ascii="Times New Roman" w:hAnsi="Times New Roman"/>
          <w:b w:val="false"/>
          <w:i w:val="false"/>
          <w:color w:val="000000"/>
          <w:sz w:val="24"/>
        </w:rPr>
        <w:t>(249A) and require medical assessment, medical monitoring, and regular medical intervention or intervention in a medical emergency during those services. The case manager must identify the need for IMMT services after evaluating the member’s living environment, family and natural supports, ability to perform activities of daily living, and health care needs. The services must be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To allow the member’s usual caregivers to be employed,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During a search for employment by a usual caregiver,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To allow for academic or vocational training of a usual caregiver,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Due to the hospitalization of a usual caregiver for treatment for physical or mental illness,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Due to the death of a usual caregiver.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Service requirements. Interim medical monitoring and treatment services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Provide experiences for each member’s social, emotional, intellectual, and physical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Include comprehensive developmental care and any special services for a member with special needs;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Include medical assessment, medical monitoring, and medical intervention as needed on a regular or emergency basis. Medical intervention means the ability to assess the situation and contact the appropriate medical professional, not the direct application of medical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Interim medical monitoring and treatment services may include supervision while the member is being transported to and from school or work setting.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Limitations.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maximum of 12 hours of service is available per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Covered services do not include a complete nutritional regimen.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Interim medical monitoring and treatment services may not duplicate any regular Medicaid or waiver services provided under the state plan. Services under the state plan, including home health agency services under rule </w:t>
      </w:r>
      <w:hyperlink r:id="rId244">
        <w:r>
          <w:rPr>
            <w:rStyle w:val="Hyperlink"/>
            <w:rFonts w:ascii="Times New Roman" w:hAnsi="Times New Roman"/>
            <w:b w:val="false"/>
            <w:i w:val="false"/>
            <w:color w:val="000000"/>
            <w:sz w:val="24"/>
          </w:rPr>
          <w:t>441—78.9</w:t>
        </w:r>
      </w:hyperlink>
      <w:r>
        <w:rPr>
          <w:rFonts w:ascii="Times New Roman" w:hAnsi="Times New Roman"/>
          <w:b w:val="false"/>
          <w:i w:val="false"/>
          <w:color w:val="000000"/>
          <w:sz w:val="24"/>
        </w:rPr>
        <w:t>(249A), must be exhausted before IMMT services are accessed.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Interim medical monitoring and treatment services shall be provided in the following settings that are approved by the department as integrated, community-based settings: the member’s home; a registered child development home; a licensed child care center, residential care facility, or adult day care facility; or during the time when the member is being transported to and from school or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member-to-staff ratio shall not be more than six members to one staff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parent or guardian of the member shall be responsible for the usual and customary nonmedical cost of day care during the time in which the member is receiving IMMT services. Medical care necessary for monitoring and treatment is an allowable IMMT cost. If the cost of care goes above the usual and customary cost of day care services due to the member’s medical condition, the costs above the usual and customary cost will be covered as IMMT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unit of service is 15 minutes.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78.34(9)</w:t>
      </w:r>
      <w:r>
        <w:rPr>
          <w:rFonts w:ascii="Times New Roman" w:hAnsi="Times New Roman"/>
          <w:b w:val="false"/>
          <w:i w:val="false"/>
          <w:color w:val="000000"/>
          <w:sz w:val="24"/>
        </w:rPr>
        <w:t> </w:t>
      </w:r>
      <w:r>
        <w:rPr>
          <w:rFonts w:ascii="Times New Roman" w:hAnsi="Times New Roman"/>
          <w:b w:val="false"/>
          <w:i/>
          <w:color w:val="000000"/>
          <w:sz w:val="24"/>
        </w:rPr>
        <w:t xml:space="preserve">Home and vehicle modification. </w:t>
      </w:r>
      <w:r>
        <w:rPr>
          <w:rFonts w:ascii="Times New Roman" w:hAnsi="Times New Roman"/>
          <w:b w:val="false"/>
          <w:i w:val="false"/>
          <w:color w:val="000000"/>
          <w:sz w:val="24"/>
        </w:rPr>
        <w:t>Covered home or vehicle modifications are physical modifications to the member’s home or vehicle that directly address the member’s medical or remedial need. Covered modifications must be necessary to provide for the health, welfare, or safety of the member and enable the member to function with greater independence in the home or vehicle.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Modifications that are necessary or desirable without regard to the member’s medical or remedial need and that would be expected to increase the fair market value of the home or vehicle, such as furnaces, fencing, or adding square footage to the residence, are excluded except as specifically included below. Purchasing or leasing of a motorized vehicle is excluded. Home and vehicle repairs are also excluded.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Only the following modifications are covered: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Kitchen counters, sink space, cabinets, special adaptations to refrigerators, stoves, and ovens.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Bathtubs and toilets to accommodate transfer, special handles and hoses for shower heads, water faucet controls, and accessible showers and sink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Grab bars and handrails.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Turnaround space adaptations.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Ramps, lifts, and door, hall and window widening.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Fire safety alarm equipment specific for disability.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Voice-activated, sound-activated, light-activated, motion-activated, and electronic devices directly related to the member’s disability.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Vehicle lifts, driver-specific adaptations, remote-start systems, including such modifications already installed in a vehicle.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Keyless entry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Automatic opening device for home or vehicle door.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Special door and window locks.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Specialized doorknobs and handles.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Plexiglas replacement for glass windows.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Modification of existing stairs to widen, lower, raise or enclose open stairs.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Motion detectors.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Low-pile carpeting or slip-resistant flooring.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(17)</w:t>
      </w:r>
      <w:r>
        <w:rPr>
          <w:rFonts w:ascii="Times New Roman" w:hAnsi="Times New Roman"/>
          <w:b w:val="false"/>
          <w:i w:val="false"/>
          <w:color w:val="000000"/>
          <w:sz w:val="24"/>
        </w:rPr>
        <w:t>  </w:t>
      </w:r>
      <w:r>
        <w:rPr>
          <w:rFonts w:ascii="Times New Roman" w:hAnsi="Times New Roman"/>
          <w:b w:val="false"/>
          <w:i w:val="false"/>
          <w:color w:val="000000"/>
          <w:sz w:val="24"/>
        </w:rPr>
        <w:t>Telecommunications device for the deaf or hard of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(18)</w:t>
      </w:r>
      <w:r>
        <w:rPr>
          <w:rFonts w:ascii="Times New Roman" w:hAnsi="Times New Roman"/>
          <w:b w:val="false"/>
          <w:i w:val="false"/>
          <w:color w:val="000000"/>
          <w:sz w:val="24"/>
        </w:rPr>
        <w:t>  </w:t>
      </w:r>
      <w:r>
        <w:rPr>
          <w:rFonts w:ascii="Times New Roman" w:hAnsi="Times New Roman"/>
          <w:b w:val="false"/>
          <w:i w:val="false"/>
          <w:color w:val="000000"/>
          <w:sz w:val="24"/>
        </w:rPr>
        <w:t>Exterior hard-surface pathways.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(19)</w:t>
      </w:r>
      <w:r>
        <w:rPr>
          <w:rFonts w:ascii="Times New Roman" w:hAnsi="Times New Roman"/>
          <w:b w:val="false"/>
          <w:i w:val="false"/>
          <w:color w:val="000000"/>
          <w:sz w:val="24"/>
        </w:rPr>
        <w:t>  </w:t>
      </w:r>
      <w:r>
        <w:rPr>
          <w:rFonts w:ascii="Times New Roman" w:hAnsi="Times New Roman"/>
          <w:b w:val="false"/>
          <w:i w:val="false"/>
          <w:color w:val="000000"/>
          <w:sz w:val="24"/>
        </w:rPr>
        <w:t>New door opening.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(20)</w:t>
      </w:r>
      <w:r>
        <w:rPr>
          <w:rFonts w:ascii="Times New Roman" w:hAnsi="Times New Roman"/>
          <w:b w:val="false"/>
          <w:i w:val="false"/>
          <w:color w:val="000000"/>
          <w:sz w:val="24"/>
        </w:rPr>
        <w:t>  </w:t>
      </w:r>
      <w:r>
        <w:rPr>
          <w:rFonts w:ascii="Times New Roman" w:hAnsi="Times New Roman"/>
          <w:b w:val="false"/>
          <w:i w:val="false"/>
          <w:color w:val="000000"/>
          <w:sz w:val="24"/>
        </w:rPr>
        <w:t>Pocket doors.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(21)</w:t>
      </w:r>
      <w:r>
        <w:rPr>
          <w:rFonts w:ascii="Times New Roman" w:hAnsi="Times New Roman"/>
          <w:b w:val="false"/>
          <w:i w:val="false"/>
          <w:color w:val="000000"/>
          <w:sz w:val="24"/>
        </w:rPr>
        <w:t>  </w:t>
      </w:r>
      <w:r>
        <w:rPr>
          <w:rFonts w:ascii="Times New Roman" w:hAnsi="Times New Roman"/>
          <w:b w:val="false"/>
          <w:i w:val="false"/>
          <w:color w:val="000000"/>
          <w:sz w:val="24"/>
        </w:rPr>
        <w:t>Installation or relocation of controls, outlets, switches.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(22)</w:t>
      </w:r>
      <w:r>
        <w:rPr>
          <w:rFonts w:ascii="Times New Roman" w:hAnsi="Times New Roman"/>
          <w:b w:val="false"/>
          <w:i w:val="false"/>
          <w:color w:val="000000"/>
          <w:sz w:val="24"/>
        </w:rPr>
        <w:t>  </w:t>
      </w:r>
      <w:r>
        <w:rPr>
          <w:rFonts w:ascii="Times New Roman" w:hAnsi="Times New Roman"/>
          <w:b w:val="false"/>
          <w:i w:val="false"/>
          <w:color w:val="000000"/>
          <w:sz w:val="24"/>
        </w:rPr>
        <w:t>Air conditioning and air filtering if medically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(23)</w:t>
      </w:r>
      <w:r>
        <w:rPr>
          <w:rFonts w:ascii="Times New Roman" w:hAnsi="Times New Roman"/>
          <w:b w:val="false"/>
          <w:i w:val="false"/>
          <w:color w:val="000000"/>
          <w:sz w:val="24"/>
        </w:rPr>
        <w:t>  </w:t>
      </w:r>
      <w:r>
        <w:rPr>
          <w:rFonts w:ascii="Times New Roman" w:hAnsi="Times New Roman"/>
          <w:b w:val="false"/>
          <w:i w:val="false"/>
          <w:color w:val="000000"/>
          <w:sz w:val="24"/>
        </w:rPr>
        <w:t>Heightening of existing garage door opening to accommodate modified van.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(24)</w:t>
      </w:r>
      <w:r>
        <w:rPr>
          <w:rFonts w:ascii="Times New Roman" w:hAnsi="Times New Roman"/>
          <w:b w:val="false"/>
          <w:i w:val="false"/>
          <w:color w:val="000000"/>
          <w:sz w:val="24"/>
        </w:rPr>
        <w:t>  </w:t>
      </w:r>
      <w:r>
        <w:rPr>
          <w:rFonts w:ascii="Times New Roman" w:hAnsi="Times New Roman"/>
          <w:b w:val="false"/>
          <w:i w:val="false"/>
          <w:color w:val="000000"/>
          <w:sz w:val="24"/>
        </w:rPr>
        <w:t>Bath chairs.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unit of service is the completion of needed modifications or adaptations.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All modifications and adaptations shall be provided in accordance with applicable federal, state, and local building and vehicle codes.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Services shall be performed following prior department approval of the modification as specified in </w:t>
      </w:r>
      <w:hyperlink r:id="rId245">
        <w:r>
          <w:rPr>
            <w:rStyle w:val="Hyperlink"/>
            <w:rFonts w:ascii="Times New Roman" w:hAnsi="Times New Roman"/>
            <w:b w:val="false"/>
            <w:i w:val="false"/>
            <w:color w:val="000000"/>
            <w:sz w:val="24"/>
          </w:rPr>
          <w:t>441—subrule 79.1(17)</w:t>
        </w:r>
      </w:hyperlink>
      <w:r>
        <w:rPr>
          <w:rFonts w:ascii="Times New Roman" w:hAnsi="Times New Roman"/>
          <w:b w:val="false"/>
          <w:i w:val="false"/>
          <w:color w:val="000000"/>
          <w:sz w:val="24"/>
        </w:rPr>
        <w:t xml:space="preserve"> and a binding contract between the provider and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All contracts for home or vehicle modification shall be awarded through competitive bidding. The contract shall include the scope of work to be performed, the time involved, supplies needed, the cost, diagrams of the project whenever applicable, and an assurance that the provider has liability and workers’ compensation coverage and the applicable permit and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Service payment will be made to the enrolled home or vehicle modification provider. If applicable, payment will be forwarded to the subcontracting agency by the enrolled home or vehicle modification provider following completion of the approved modifications.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Services shall be included in the member’s service plan and shall exceed the Medicaid state plan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Payment for home and vehicle modifications are limited to the service limitations published on the Iowa Medicaid fee schedule webpage.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78.34(10)</w:t>
      </w:r>
      <w:r>
        <w:rPr>
          <w:rFonts w:ascii="Times New Roman" w:hAnsi="Times New Roman"/>
          <w:b w:val="false"/>
          <w:i w:val="false"/>
          <w:color w:val="000000"/>
          <w:sz w:val="24"/>
        </w:rPr>
        <w:t> </w:t>
      </w:r>
      <w:r>
        <w:rPr>
          <w:rFonts w:ascii="Times New Roman" w:hAnsi="Times New Roman"/>
          <w:b w:val="false"/>
          <w:i/>
          <w:color w:val="000000"/>
          <w:sz w:val="24"/>
        </w:rPr>
        <w:t xml:space="preserve">Personal emergency response or portable locator system.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personal emergency response system is an electronic device that transmits a signal to a central monitoring station to summon assistance in the event of an emergency.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required components of the system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in-home medical communications transceiver.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remote, portable activator.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central monitoring station with backup systems staffed by trained attendants at all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Current data files at the central monitoring station containing response protocols and personal, medical, and emergency information for each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service shall be identified in the member’s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unit of service is a one-time installation fee or one month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Maximum units per state fiscal year will be the initial installation and 12 months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portable locator system is an electronic device that transmits a signal to a monitoring device. The system allows a member to access assistance in the event of an emergency and allows law enforcement or the monitoring system provider to locate a member who is unable to request help or to activate a system independently. The member must be unable to access assistance in an emergency situation due to the member’s age or disability.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required components of the portable locator system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portable communications transceiver or transmitter to be worn or carried by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Monitoring by the provider at a central location with response protocols and personal, medical, and emergency information for each member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service shall be identified in the member’s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Payable units of service are purchase of equipment, an installation or set-up fee, and monthly fees.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Maximum units per state fiscal year will be one equipment purchase, one installation or set-up fee, and 12 months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78.34(11)</w:t>
      </w:r>
      <w:r>
        <w:rPr>
          <w:rFonts w:ascii="Times New Roman" w:hAnsi="Times New Roman"/>
          <w:b w:val="false"/>
          <w:i w:val="false"/>
          <w:color w:val="000000"/>
          <w:sz w:val="24"/>
        </w:rPr>
        <w:t> </w:t>
      </w:r>
      <w:r>
        <w:rPr>
          <w:rFonts w:ascii="Times New Roman" w:hAnsi="Times New Roman"/>
          <w:b w:val="false"/>
          <w:i/>
          <w:color w:val="000000"/>
          <w:sz w:val="24"/>
        </w:rPr>
        <w:t xml:space="preserve">Home-delivered meals. </w:t>
      </w:r>
      <w:r>
        <w:rPr>
          <w:rFonts w:ascii="Times New Roman" w:hAnsi="Times New Roman"/>
          <w:b w:val="false"/>
          <w:i w:val="false"/>
          <w:color w:val="000000"/>
          <w:sz w:val="24"/>
        </w:rPr>
        <w:t>Home-delivered meals are meals prepared elsewhere and delivered to a member at the member’s residence.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Each meal shall ensure the member receives a minimum of one-third of the daily recommended dietary allowance as established by the Food and Nutrition Board of the National Research Council of the National Academies of Sciences, Engineering, and Medicine. The meal may also be a liquid supplement that meets the minimum one-third standard.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a restaurant provides the home-delivered meal, the member is required to have a nutritional consultation. The nutritional consultation includes contact with the restaurant to explain the dietary needs of the member and what constitutes the minimum one-third daily dietary allowance.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unit of service is a meal (morning, noon, evening, or liquid supplement). Any maximum combination of any two meals (morning, noon, evening, or liquid supplement) is allowed per day. Duplication of a meal in any one day is not allowed. The number of approved meals (morning, noon, evening, or liquid supplement) is contained in the member’s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number of meals delivered for any morning, noon, evening, or liquid supplement meal cannot exceed the number of calendar days in a calendar month; nor can the number of delivered meals exceed the number of authorized days in a month. Meals billed in excess of the calendar days in a calendar month and those billed in excess of the number of authorized days in a month are subject to recoupment or denial of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78.34(12)</w:t>
      </w:r>
      <w:r>
        <w:rPr>
          <w:rFonts w:ascii="Times New Roman" w:hAnsi="Times New Roman"/>
          <w:b w:val="false"/>
          <w:i w:val="false"/>
          <w:color w:val="000000"/>
          <w:sz w:val="24"/>
        </w:rPr>
        <w:t> </w:t>
      </w:r>
      <w:r>
        <w:rPr>
          <w:rFonts w:ascii="Times New Roman" w:hAnsi="Times New Roman"/>
          <w:b w:val="false"/>
          <w:i/>
          <w:color w:val="000000"/>
          <w:sz w:val="24"/>
        </w:rPr>
        <w:t xml:space="preserve">Nutritional counseling. </w:t>
      </w:r>
      <w:r>
        <w:rPr>
          <w:rFonts w:ascii="Times New Roman" w:hAnsi="Times New Roman"/>
          <w:b w:val="false"/>
          <w:i w:val="false"/>
          <w:color w:val="000000"/>
          <w:sz w:val="24"/>
        </w:rPr>
        <w:t>Nutritional counseling services may be provided for a nutritional problem or condition of such a degree of severity that nutritional counseling beyond that normally expected as part of the standard medical management is warranted. A unit of service is 15 minutes.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78.34(13)</w:t>
      </w:r>
      <w:r>
        <w:rPr>
          <w:rFonts w:ascii="Times New Roman" w:hAnsi="Times New Roman"/>
          <w:b w:val="false"/>
          <w:i w:val="false"/>
          <w:color w:val="000000"/>
          <w:sz w:val="24"/>
        </w:rPr>
        <w:t> </w:t>
      </w:r>
      <w:r>
        <w:rPr>
          <w:rFonts w:ascii="Times New Roman" w:hAnsi="Times New Roman"/>
          <w:b w:val="false"/>
          <w:i/>
          <w:color w:val="000000"/>
          <w:sz w:val="24"/>
        </w:rPr>
        <w:t xml:space="preserve">Consumer choices option. </w:t>
      </w:r>
      <w:r>
        <w:rPr>
          <w:rFonts w:ascii="Times New Roman" w:hAnsi="Times New Roman"/>
          <w:b w:val="false"/>
          <w:i w:val="false"/>
          <w:color w:val="000000"/>
          <w:sz w:val="24"/>
        </w:rPr>
        <w:t xml:space="preserve">The consumer choices option (CCO) provides a member with a flexible monthly individual budget that is based on the member’s service needs. With the individual budget, the member shall have the authority to purchase goods and services to meet the member’s assessed needs and may choose to employ providers of services and supports. The services, supports, and items that are purchased with an individual budget must be directly related to a member’s assessed need or goal established in the member’s service plan. The CCO is available to any member receiving the AIDS/HIV, brain injury, elderly, health and disability, intellectual disability, or physical disability waiver programs who has the ability and desire to perform all budget authority tasks identified in paragraph </w:t>
      </w:r>
      <w:hyperlink r:id="rId246">
        <w:r>
          <w:rPr>
            <w:rStyle w:val="Hyperlink"/>
            <w:rFonts w:ascii="Times New Roman" w:hAnsi="Times New Roman"/>
            <w:b w:val="false"/>
            <w:i w:val="false"/>
            <w:color w:val="000000"/>
            <w:sz w:val="24"/>
          </w:rPr>
          <w:t>78.34(13)</w:t>
        </w:r>
      </w:hyperlink>
      <w:r>
        <w:rPr>
          <w:rFonts w:ascii="Times New Roman" w:hAnsi="Times New Roman"/>
          <w:b w:val="false"/>
          <w:i/>
          <w:color w:val="000000"/>
          <w:sz w:val="24"/>
        </w:rPr>
        <w:t>“g”</w:t>
      </w:r>
      <w:r>
        <w:rPr>
          <w:rFonts w:ascii="Times New Roman" w:hAnsi="Times New Roman"/>
          <w:b w:val="false"/>
          <w:i w:val="false"/>
          <w:color w:val="000000"/>
          <w:sz w:val="24"/>
        </w:rPr>
        <w:t xml:space="preserve"> and employer authority tasks identified in paragraph </w:t>
      </w:r>
      <w:hyperlink r:id="rId247">
        <w:r>
          <w:rPr>
            <w:rStyle w:val="Hyperlink"/>
            <w:rFonts w:ascii="Times New Roman" w:hAnsi="Times New Roman"/>
            <w:b w:val="false"/>
            <w:i w:val="false"/>
            <w:color w:val="000000"/>
            <w:sz w:val="24"/>
          </w:rPr>
          <w:t>78.34(13)</w:t>
        </w:r>
      </w:hyperlink>
      <w:r>
        <w:rPr>
          <w:rFonts w:ascii="Times New Roman" w:hAnsi="Times New Roman"/>
          <w:b w:val="false"/>
          <w:i/>
          <w:color w:val="000000"/>
          <w:sz w:val="24"/>
        </w:rPr>
        <w:t>“h,”</w:t>
      </w:r>
      <w:r>
        <w:rPr>
          <w:rFonts w:ascii="Times New Roman" w:hAnsi="Times New Roman"/>
          <w:b w:val="false"/>
          <w:i w:val="false"/>
          <w:color w:val="000000"/>
          <w:sz w:val="24"/>
        </w:rPr>
        <w:t xml:space="preserve"> or who delegates the budget or employer authority tasks identified in paragraph </w:t>
      </w:r>
      <w:hyperlink r:id="rId248">
        <w:r>
          <w:rPr>
            <w:rStyle w:val="Hyperlink"/>
            <w:rFonts w:ascii="Times New Roman" w:hAnsi="Times New Roman"/>
            <w:b w:val="false"/>
            <w:i w:val="false"/>
            <w:color w:val="000000"/>
            <w:sz w:val="24"/>
          </w:rPr>
          <w:t>78.34(13)</w:t>
        </w:r>
      </w:hyperlink>
      <w:r>
        <w:rPr>
          <w:rFonts w:ascii="Times New Roman" w:hAnsi="Times New Roman"/>
          <w:b w:val="false"/>
          <w:i/>
          <w:color w:val="000000"/>
          <w:sz w:val="24"/>
        </w:rPr>
        <w:t>“i.”</w:t>
      </w:r>
      <w:r>
        <w:rPr>
          <w:rFonts w:ascii="Times New Roman" w:hAnsi="Times New Roman"/>
          <w:b w:val="false"/>
          <w:i w:val="false"/>
          <w:color w:val="000000"/>
          <w:sz w:val="24"/>
        </w:rPr>
        <w:t xml:space="preserve"> Components of this service are set forth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Agreement. </w:t>
      </w:r>
      <w:r>
        <w:rPr>
          <w:rFonts w:ascii="Times New Roman" w:hAnsi="Times New Roman"/>
          <w:b w:val="false"/>
          <w:i w:val="false"/>
          <w:color w:val="000000"/>
          <w:sz w:val="24"/>
        </w:rPr>
        <w:t>As a condition of participating in the CCO, a member shall sign the HCBS Consumer Choices Informed Consent and Risk Agreement to document that the member has been informed of the responsibilities and risks of electing the CCO.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Individual budget amount. </w:t>
      </w:r>
      <w:r>
        <w:rPr>
          <w:rFonts w:ascii="Times New Roman" w:hAnsi="Times New Roman"/>
          <w:b w:val="false"/>
          <w:i w:val="false"/>
          <w:color w:val="000000"/>
          <w:sz w:val="24"/>
        </w:rPr>
        <w:t>A monthly individual budget amount shall be established for each member based on the assessed needs of the member and based on the services and supports authorized in the member’s service plan. The member shall be informed of the individual budget amount during the development of the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Services that may be included in determining the individual budget amount for a member in the HCBS health and disability, elderly, AIDS/HIV, brain injury, and physical disability waivers are outlined in the HCBS Waiver Provider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department will determine an average unit cost for each service outlined in the HCBS Provider Manual based on actual unit costs from the previous fiscal year plus a cost-of-living adjustment.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 aggregate, costs for individual budget services shall not exceed the current costs of waiver program services. In order to maintain cost neutrality, the department will apply a utilization adjustment factor to the amount of service authorized in the member’s service plan before calculating the value of that service to be included in the individual budget amount.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department will compute the utilization adjustment factor for each service by dividing the net costs of all claims paid for the service by the total of the authorized costs for that service, using at least 12 consecutive months of aggregate service data. The utilization adjustment factor will be no lower than 60 percent.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Individual budgets for respite services will be computed based on the average cost for services outlined in the HCBS Provider Manual. Respite services are not subject to the utilization adjustment factor in subparagraph </w:t>
      </w:r>
      <w:hyperlink r:id="rId249">
        <w:r>
          <w:rPr>
            <w:rStyle w:val="Hyperlink"/>
            <w:rFonts w:ascii="Times New Roman" w:hAnsi="Times New Roman"/>
            <w:b w:val="false"/>
            <w:i w:val="false"/>
            <w:color w:val="000000"/>
            <w:sz w:val="24"/>
          </w:rPr>
          <w:t>78.34(13)</w:t>
        </w:r>
      </w:hyperlink>
      <w:r>
        <w:rPr>
          <w:rFonts w:ascii="Times New Roman" w:hAnsi="Times New Roman"/>
          <w:b w:val="false"/>
          <w:i/>
          <w:color w:val="000000"/>
          <w:sz w:val="24"/>
        </w:rPr>
        <w:t>“b”</w:t>
      </w:r>
      <w:r>
        <w:rPr>
          <w:rFonts w:ascii="Times New Roman" w:hAnsi="Times New Roman"/>
          <w:b w:val="false"/>
          <w:i w:val="false"/>
          <w:color w:val="000000"/>
          <w:sz w:val="24"/>
        </w:rPr>
        <w:t>(3).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Anticipated costs for home and vehicle modification, assistive devices, and specialized medical equipment are not subject to the average cost in subparagraph </w:t>
      </w:r>
      <w:hyperlink r:id="rId250">
        <w:r>
          <w:rPr>
            <w:rStyle w:val="Hyperlink"/>
            <w:rFonts w:ascii="Times New Roman" w:hAnsi="Times New Roman"/>
            <w:b w:val="false"/>
            <w:i w:val="false"/>
            <w:color w:val="000000"/>
            <w:sz w:val="24"/>
          </w:rPr>
          <w:t>78.34(13)</w:t>
        </w:r>
      </w:hyperlink>
      <w:r>
        <w:rPr>
          <w:rFonts w:ascii="Times New Roman" w:hAnsi="Times New Roman"/>
          <w:b w:val="false"/>
          <w:i/>
          <w:color w:val="000000"/>
          <w:sz w:val="24"/>
        </w:rPr>
        <w:t>“b”</w:t>
      </w:r>
      <w:r>
        <w:rPr>
          <w:rFonts w:ascii="Times New Roman" w:hAnsi="Times New Roman"/>
          <w:b w:val="false"/>
          <w:i w:val="false"/>
          <w:color w:val="000000"/>
          <w:sz w:val="24"/>
        </w:rPr>
        <w:t xml:space="preserve">(2) or the utilization adjustment factor in subparagraph </w:t>
      </w:r>
      <w:hyperlink r:id="rId251">
        <w:r>
          <w:rPr>
            <w:rStyle w:val="Hyperlink"/>
            <w:rFonts w:ascii="Times New Roman" w:hAnsi="Times New Roman"/>
            <w:b w:val="false"/>
            <w:i w:val="false"/>
            <w:color w:val="000000"/>
            <w:sz w:val="24"/>
          </w:rPr>
          <w:t>78.34(13)</w:t>
        </w:r>
      </w:hyperlink>
      <w:r>
        <w:rPr>
          <w:rFonts w:ascii="Times New Roman" w:hAnsi="Times New Roman"/>
          <w:b w:val="false"/>
          <w:i/>
          <w:color w:val="000000"/>
          <w:sz w:val="24"/>
        </w:rPr>
        <w:t>“b”</w:t>
      </w:r>
      <w:r>
        <w:rPr>
          <w:rFonts w:ascii="Times New Roman" w:hAnsi="Times New Roman"/>
          <w:b w:val="false"/>
          <w:i w:val="false"/>
          <w:color w:val="000000"/>
          <w:sz w:val="24"/>
        </w:rPr>
        <w:t>(3). The anticipated costs may include the costs of the financial management services and the independent support broker when the home and vehicle modification, assistive device, or specialized medical equipment is the only service included in the CCO monthly budget and the total cost for the home and vehicle modification, assistive device, or specialized medical equipment, including the cost of the financial management services and the independent support broker, is approved by Iowa Medicaid or the MCO as the least costly option to meet the member’s need. Costs for the home and vehicle modification, assistive device, or specialized medical equipment may be paid to the financial management services provider in a one-time payment. Before becoming part of the CCO monthly budget, all home and vehicle modifications, assistive device, and specialized medical equipment shall be identified in the member’s service plan and authorized by the case manager or community-based case manager.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individual budget amount may be changed only at the first of the month and shall remain fixed for the entire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Required service components. </w:t>
      </w:r>
      <w:r>
        <w:rPr>
          <w:rFonts w:ascii="Times New Roman" w:hAnsi="Times New Roman"/>
          <w:b w:val="false"/>
          <w:i w:val="false"/>
          <w:color w:val="000000"/>
          <w:sz w:val="24"/>
        </w:rPr>
        <w:t xml:space="preserve">To participate in the CCO, a member must choose to hire an independent support broker and must work with a financial management service that is enrolled as a Medicaid provider. Before hiring the independent support broker, the member shall receive the results of the background check conducted pursuant to </w:t>
      </w:r>
      <w:hyperlink r:id="rId252">
        <w:r>
          <w:rPr>
            <w:rStyle w:val="Hyperlink"/>
            <w:rFonts w:ascii="Times New Roman" w:hAnsi="Times New Roman"/>
            <w:b w:val="false"/>
            <w:i w:val="false"/>
            <w:color w:val="000000"/>
            <w:sz w:val="24"/>
          </w:rPr>
          <w:t>441—Chapter 119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Optional service components. </w:t>
      </w:r>
      <w:r>
        <w:rPr>
          <w:rFonts w:ascii="Times New Roman" w:hAnsi="Times New Roman"/>
          <w:b w:val="false"/>
          <w:i w:val="false"/>
          <w:color w:val="000000"/>
          <w:sz w:val="24"/>
        </w:rPr>
        <w:t>A member who elects the CCO may purchase the following goods, services and supports, which shall be provided in the member’s home or at an integrated community setting: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Self-directed personal care services. Self-directed personal care services are services that provide a range of assistance in activities of daily living and incidental activities of daily living that help the member remain in the home and community. These services must be identified in the member’s service plan developed by the member’s case manager or community-based case manager.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Self-directed community supports and employment. Self-directed community supports and employment are services that support the member in developing and maintaining independence and community integration. These services must be identified in the member’s service plan developed by the member’s case manager or community-based case manager.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Individual-directed goods and services. Individual-directed goods and services are services, equipment, or supplies not otherwise provided through the Medicaid program that address an assessed need or goal identified in the member’s service plan. The item or service shall meet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Promote opportunities for community living and inclusion.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Increase independence or substitute for human assistance, to the extent the expenditures would otherwise be made for that human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Be accommodated within the member’s budget without compromising the member’s health and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Be provided to the member or directed exclusively toward the benefit of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Be the least costly to meet the member’s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Not be available through another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Development of the individual budget. </w:t>
      </w:r>
      <w:r>
        <w:rPr>
          <w:rFonts w:ascii="Times New Roman" w:hAnsi="Times New Roman"/>
          <w:b w:val="false"/>
          <w:i w:val="false"/>
          <w:color w:val="000000"/>
          <w:sz w:val="24"/>
        </w:rPr>
        <w:t>The independent support broker shall assist the member in developing and implementing the member’s individual budget. The individual budget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costs of the financial management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costs of the independent support broker. The independent support broker may be compensated for up to 6 hours of service for assisting with the implementation of the initial individual budget. The independent support broker shall not be paid for more than 30 hours of service for an individual member during a 12-month period without prior approval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costs of any optional service component chosen by the member as described in paragraph </w:t>
      </w:r>
      <w:hyperlink r:id="rId253">
        <w:r>
          <w:rPr>
            <w:rStyle w:val="Hyperlink"/>
            <w:rFonts w:ascii="Times New Roman" w:hAnsi="Times New Roman"/>
            <w:b w:val="false"/>
            <w:i w:val="false"/>
            <w:color w:val="000000"/>
            <w:sz w:val="24"/>
          </w:rPr>
          <w:t>78.34(13)</w:t>
        </w:r>
        <w:r>
          <w:rPr>
            <w:rFonts w:ascii="Times New Roman" w:hAnsi="Times New Roman"/>
            <w:b w:val="false"/>
            <w:i/>
            <w:color w:val="000000"/>
            <w:sz w:val="24"/>
          </w:rPr>
          <w:t>“d.”</w:t>
        </w:r>
      </w:hyperlink>
      <w:r>
        <w:rPr>
          <w:rFonts w:ascii="Times New Roman" w:hAnsi="Times New Roman"/>
          <w:b w:val="false"/>
          <w:i w:val="false"/>
          <w:color w:val="000000"/>
          <w:sz w:val="24"/>
        </w:rPr>
        <w:t xml:space="preserve"> At a minimum, the CCO monthly budget must include the purchase of self-directed personal care, individual-directed goods and services, or self-directed community supports and services needed to meet the amount of service authorized for use in CCO identified in the member’s service plan. After funds have been budgeted to meet the identified needs, remaining funds from the monthly budget amount may be used to purchase additional self-directed personal care, individual-directed goods and services, or self-directed community supports and services as allowed by the monthly budget. The additional self-directed personal care, individual-directed goods and services, or self-directed community supports and services may exceed the amount of service or supports authorized in the member’s service plan. Items and services not covered by the individual budget are outlined in the HCBS Provider Manual.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costs of any approved home or vehicle modification, assistive device, or specialized medical equipment. When authorized, the budget may include an amount allocated for a home or vehicle modification, an assistive device, or specialized medical equipment. Before becoming part of the individual budget, all home and vehicle modifications, assistive devices, and specialized medical equipment shall be identified in the member’s service plan and approved by Iowa Medicaid or the member’s MCO. The authorized amount shall not be used for anything other than the specific modification, assistive device, or specialized medical equipment as outlined in the HCBS Provider Manual.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Any amount set aside in a savings plan to reserve funds for the future purchase of self-directed personal care, individual-directed goods and services, or self-directed community supports and services as defined in paragraph </w:t>
      </w:r>
      <w:hyperlink r:id="rId254">
        <w:r>
          <w:rPr>
            <w:rStyle w:val="Hyperlink"/>
            <w:rFonts w:ascii="Times New Roman" w:hAnsi="Times New Roman"/>
            <w:b w:val="false"/>
            <w:i w:val="false"/>
            <w:color w:val="000000"/>
            <w:sz w:val="24"/>
          </w:rPr>
          <w:t>78.34(13)</w:t>
        </w:r>
        <w:r>
          <w:rPr>
            <w:rFonts w:ascii="Times New Roman" w:hAnsi="Times New Roman"/>
            <w:b w:val="false"/>
            <w:i/>
            <w:color w:val="000000"/>
            <w:sz w:val="24"/>
          </w:rPr>
          <w:t>“d.”</w:t>
        </w:r>
      </w:hyperlink>
      <w:r>
        <w:rPr>
          <w:rFonts w:ascii="Times New Roman" w:hAnsi="Times New Roman"/>
          <w:b w:val="false"/>
          <w:i w:val="false"/>
          <w:color w:val="000000"/>
          <w:sz w:val="24"/>
        </w:rPr>
        <w:t xml:space="preserve"> The savings plan shall meet the requirements in paragraph </w:t>
      </w:r>
      <w:hyperlink r:id="rId255">
        <w:r>
          <w:rPr>
            <w:rStyle w:val="Hyperlink"/>
            <w:rFonts w:ascii="Times New Roman" w:hAnsi="Times New Roman"/>
            <w:b w:val="false"/>
            <w:i w:val="false"/>
            <w:color w:val="000000"/>
            <w:sz w:val="24"/>
          </w:rPr>
          <w:t>78.34(13)</w:t>
        </w:r>
        <w:r>
          <w:rPr>
            <w:rFonts w:ascii="Times New Roman" w:hAnsi="Times New Roman"/>
            <w:b w:val="false"/>
            <w:i/>
            <w:color w:val="000000"/>
            <w:sz w:val="24"/>
          </w:rPr>
          <w:t>“f.”</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Savings plan. </w:t>
      </w:r>
      <w:r>
        <w:rPr>
          <w:rFonts w:ascii="Times New Roman" w:hAnsi="Times New Roman"/>
          <w:b w:val="false"/>
          <w:i w:val="false"/>
          <w:color w:val="000000"/>
          <w:sz w:val="24"/>
        </w:rPr>
        <w:t>A member savings plan must be in writing and be approved before the start of the savings plan by the department for fee-for-service members or by the member’s MCO for members in managed care. Budget amounts allocated to the savings plan must result from efficiencies in meeting the member’s service needs identified in the member’s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savings plan shall identify: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specific goods, services, supports or supplies to be purchased through the savings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amount of the individual budget allocated each month to the savings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amount of the individual budget allocated each month to meet the member’s identified service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How the member’s assessed needs will continue to be met through the individual budget when funds are placed in savings.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Specific time spans for accumulating the savings allocation, not to exceed the member’s current service plan year end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With the exception of funds allocated for respite care, the savings plan shall not include funds budgeted for direct services or supports that were not received. Funds from unused respite services may be allocated to the savings plan but shall not be used for anything other than future respite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Funds allocated to a savings plan may be used to purchase additional self-directed personal care, individual-directed goods and services, or self-directed community supports and services. The additional self-directed personal care, individual-directed goods and services, or self-directed community supports and services included in the monthly budget may exceed the amount of service or supports authorized in the member’s service plan. The self-directed personal care, individual-directed goods and services, or self-directed community supports and services purchased with funds from a savings plan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used to meet a member’s identified need,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 medically necessary,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Be approved by the member’s case manager or community-based case manager.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All funds allocated to a savings plan to purchase additional self-directed personal care, individual-directed goods and services, or self-directed community supports and services must be used during the member’s waiver year in which the saving occurred.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annual reassessment of a member’s needs must take into account the purchases of goods and services that substitute for human assistance. Adjustments shall be made to the services used to determine the individual budget based on the reassessment.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Budget authority. </w:t>
      </w:r>
      <w:r>
        <w:rPr>
          <w:rFonts w:ascii="Times New Roman" w:hAnsi="Times New Roman"/>
          <w:b w:val="false"/>
          <w:i w:val="false"/>
          <w:color w:val="000000"/>
          <w:sz w:val="24"/>
        </w:rPr>
        <w:t>The member shall have authority over the individual budget authorized by the department or MCO to perform the following tasks: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Contract with entities to provide services and supports as described in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Determine the amount to be paid for services. Reimbursement rates for employees shall be consistent with employee reimbursement rates or the prevailing wages paid by others in the community for the same or substantially similar services. Reimbursement rates for the independent support broker and the financial management service are subject to the limits in </w:t>
      </w:r>
      <w:hyperlink r:id="rId256">
        <w:r>
          <w:rPr>
            <w:rStyle w:val="Hyperlink"/>
            <w:rFonts w:ascii="Times New Roman" w:hAnsi="Times New Roman"/>
            <w:b w:val="false"/>
            <w:i w:val="false"/>
            <w:color w:val="000000"/>
            <w:sz w:val="24"/>
          </w:rPr>
          <w:t>441—subrule 79.1(2)</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Schedule the provision of services. A contingency plan must be established in the member’s service plan to ensure service delivery in the event the member’s employee is unable to provide services due to illness or other unexpected event.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Authorize payment for optional service components identified in the individual budget. When the member’s guardian or legal representative is a paid employee, payment authorization for optional service components must be delegated to a representative pursuant to paragraph </w:t>
      </w:r>
      <w:hyperlink r:id="rId257">
        <w:r>
          <w:rPr>
            <w:rStyle w:val="Hyperlink"/>
            <w:rFonts w:ascii="Times New Roman" w:hAnsi="Times New Roman"/>
            <w:b w:val="false"/>
            <w:i w:val="false"/>
            <w:color w:val="000000"/>
            <w:sz w:val="24"/>
          </w:rPr>
          <w:t>78.34(13)</w:t>
        </w:r>
      </w:hyperlink>
      <w:r>
        <w:rPr>
          <w:rFonts w:ascii="Times New Roman" w:hAnsi="Times New Roman"/>
          <w:b w:val="false"/>
          <w:i/>
          <w:color w:val="000000"/>
          <w:sz w:val="24"/>
        </w:rPr>
        <w:t>“i.”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Reallocate funds among services included in the budget. Every purchase of a good or service must be identified and approved in the individual budget before the purchase is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Employer authority. </w:t>
      </w:r>
      <w:r>
        <w:rPr>
          <w:rFonts w:ascii="Times New Roman" w:hAnsi="Times New Roman"/>
          <w:b w:val="false"/>
          <w:i w:val="false"/>
          <w:color w:val="000000"/>
          <w:sz w:val="24"/>
        </w:rPr>
        <w:t>The member shall have the authority to be the common-law employer of employees providing services and support under the CCO. A common-law employer has the right to direct and control the performance of the services. If the member is a child, the parent or the legal representative shall be responsible for completing all employer authority tasks. Adult members who do not have the ability to complete all employer authority tasks shall have a representative delegated to complete the employer authority tasks identified in this paragraph. Documentation of the person responsible for the employer authority tasks, whether the member or another entity, shall be included in the member’s service plan. The member or the delegated employer authority may perform the following functions: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Recruit and hire employees.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Verify employee qualifications.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Specify additional employee qualifications.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Determine employee duties.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Determine employee wages and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Schedule employees.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Train and supervise employees.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Delegation of budget and employer authority. </w:t>
      </w:r>
      <w:r>
        <w:rPr>
          <w:rFonts w:ascii="Times New Roman" w:hAnsi="Times New Roman"/>
          <w:b w:val="false"/>
          <w:i w:val="false"/>
          <w:color w:val="000000"/>
          <w:sz w:val="24"/>
        </w:rPr>
        <w:t xml:space="preserve">The member may delegate responsibilities for the individual budget or employer authority functions to a representative. If the member is a child, the parent or the legal representative shall be delegated all budget and employer authority tasks. Adult members aged 18 and older who do not have the ability to complete all budget or employer authority tasks shall have a representative delegated to complete the applicable budget authority tasks identified in paragraph </w:t>
      </w:r>
      <w:hyperlink r:id="rId258">
        <w:r>
          <w:rPr>
            <w:rStyle w:val="Hyperlink"/>
            <w:rFonts w:ascii="Times New Roman" w:hAnsi="Times New Roman"/>
            <w:b w:val="false"/>
            <w:i w:val="false"/>
            <w:color w:val="000000"/>
            <w:sz w:val="24"/>
          </w:rPr>
          <w:t>78.34(13)</w:t>
        </w:r>
      </w:hyperlink>
      <w:r>
        <w:rPr>
          <w:rFonts w:ascii="Times New Roman" w:hAnsi="Times New Roman"/>
          <w:b w:val="false"/>
          <w:i/>
          <w:color w:val="000000"/>
          <w:sz w:val="24"/>
        </w:rPr>
        <w:t>“g”</w:t>
      </w:r>
      <w:r>
        <w:rPr>
          <w:rFonts w:ascii="Times New Roman" w:hAnsi="Times New Roman"/>
          <w:b w:val="false"/>
          <w:i w:val="false"/>
          <w:color w:val="000000"/>
          <w:sz w:val="24"/>
        </w:rPr>
        <w:t xml:space="preserve"> and employer authority tasks identified in paragraph </w:t>
      </w:r>
      <w:hyperlink r:id="rId259">
        <w:r>
          <w:rPr>
            <w:rStyle w:val="Hyperlink"/>
            <w:rFonts w:ascii="Times New Roman" w:hAnsi="Times New Roman"/>
            <w:b w:val="false"/>
            <w:i w:val="false"/>
            <w:color w:val="000000"/>
            <w:sz w:val="24"/>
          </w:rPr>
          <w:t>78.34(13)</w:t>
        </w:r>
      </w:hyperlink>
      <w:r>
        <w:rPr>
          <w:rFonts w:ascii="Times New Roman" w:hAnsi="Times New Roman"/>
          <w:b w:val="false"/>
          <w:i/>
          <w:color w:val="000000"/>
          <w:sz w:val="24"/>
        </w:rPr>
        <w:t>“h.”</w:t>
      </w:r>
      <w:r>
        <w:rPr>
          <w:rFonts w:ascii="Times New Roman" w:hAnsi="Times New Roman"/>
          <w:b w:val="false"/>
          <w:i w:val="false"/>
          <w:color w:val="000000"/>
          <w:sz w:val="24"/>
        </w:rPr>
        <w:t xml:space="preserve"> Documentation of the person responsible for the budget and employer authority tasks, whether the member or a representative, shall be included in the member’s service plan.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representative must be at least 18 years 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representative shall not be a current provider of service to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member shall sign a consent form that designates who the member has chosen as a representative and the responsibilities of the representative.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representative shall not be paid for this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color w:val="000000"/>
          <w:sz w:val="24"/>
        </w:rPr>
        <w:t xml:space="preserve">Employment agreement. </w:t>
      </w:r>
      <w:r>
        <w:rPr>
          <w:rFonts w:ascii="Times New Roman" w:hAnsi="Times New Roman"/>
          <w:b w:val="false"/>
          <w:i w:val="false"/>
          <w:color w:val="000000"/>
          <w:sz w:val="24"/>
        </w:rPr>
        <w:t>Any person employed by the member to provide services under the CCO shall sign an employment agreement with the member that outlines the employee’s and member’s responsibilities.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color w:val="000000"/>
          <w:sz w:val="24"/>
        </w:rPr>
        <w:t xml:space="preserve">Responsibilities of the independent support broker. </w:t>
      </w:r>
      <w:r>
        <w:rPr>
          <w:rFonts w:ascii="Times New Roman" w:hAnsi="Times New Roman"/>
          <w:b w:val="false"/>
          <w:i w:val="false"/>
          <w:color w:val="000000"/>
          <w:sz w:val="24"/>
        </w:rPr>
        <w:t>The independent support broker shall perform the following services as directed by the member or the member’s representative: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Assist the member with developing the member’s initial and subsequent individual budgets and with making any changes to the individual budget.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Have monthly contact with the member for the first four months of implementation of the initial individual budget and have, at a minimum, quarterly contact thereafter.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Complete the required employment packet with the financial management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Assist with interviewing potential employees and entities providing services and supports if requested by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Assist the member with determining whether a potential employee meets the qualifications necessary to perform the job.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Assist the member with obtaining a signed consent from a potential employee to conduct background checks if requested by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Assist the member with negotiating with entities providing services and supports if requested by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Assist the member with contracts and payment methods for services and supports if requested by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Assist the member with developing an emergency backup plan. The emergency backup plan shall address any health and safety concerns.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Review expenditure reports from the financial management service to ensure that services and supports in the individual budget are being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Document in writing on the independent support broker timecard every contact the broker has with the member. Contact documentation shall include information on the extent to which the member’s individual budget has addressed the member’s needs and the satisfaction of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color w:val="000000"/>
          <w:sz w:val="24"/>
        </w:rPr>
        <w:t xml:space="preserve">Responsibilities of the financial management service. </w:t>
      </w:r>
      <w:r>
        <w:rPr>
          <w:rFonts w:ascii="Times New Roman" w:hAnsi="Times New Roman"/>
          <w:b w:val="false"/>
          <w:i w:val="false"/>
          <w:color w:val="000000"/>
          <w:sz w:val="24"/>
        </w:rPr>
        <w:t>The financial management service shall perform all of the following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Receive Medicaid funds in an electronic transfer.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Process and pay invoices for approved goods and services included in the individual budget.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Monitor and track the approved individual budget amount authorized each month and document all expenditures as they are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Provide real-time individual budget account balances for the member, the independent support broker, and the department, available at a minimum during normal business hours (9 a.m. to 5 p.m., Monday through Friday).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Conduct criminal background checks on potential employees pursuant to </w:t>
      </w:r>
      <w:hyperlink r:id="rId260">
        <w:r>
          <w:rPr>
            <w:rStyle w:val="Hyperlink"/>
            <w:rFonts w:ascii="Times New Roman" w:hAnsi="Times New Roman"/>
            <w:b w:val="false"/>
            <w:i w:val="false"/>
            <w:color w:val="000000"/>
            <w:sz w:val="24"/>
          </w:rPr>
          <w:t>441—Chapter 119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Verify for the member an employee’s citizenship or alien status.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Assist the member with fiscal and payroll-related responsibilities including but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Verifying that hourly wages comply with federal and state labor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Collecting and processing timecards.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Withholding, filing, and paying federal, state and local income taxes, Medicare and Social Security (FICA) taxes, and federal (FUTA) and state (SUTA) unemployment and disability insurance taxes,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Computing and processing other withholdings,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Processing all judgments, garnishments, tax levies, or other withholding on an employee’s pay as may be required by federal, state, or local laws.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Preparing and issuing employee payroll checks.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Preparing and disbursing IRS Forms W-2 and W-3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Processing federal advance earned income tax credit for eligible employees.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Refunding over-collected FICA, when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Refunding over-collected FUTA, when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Assist the member in completing required federal, state, and local tax and insurance forms.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Establish and manage documents and files for the member and the member’s employees.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Monitor timecards, receipts, and invoices to ensure that they are consistent with the individual budget. Keep records of all timecards and invoices for each member for a total of five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Provide to the department, the independent support broker, and the member monthly and quarterly status reports that include a summary of expenditures paid and amount of budget unused.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Establish an accessible customer service system and a method of communication for the member and the independent support broker that includes alternative communication formats.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Establish a customer services complaint reporting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Develop a policy and procedures manual that is current with state and federal regulations and update as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Develop a business continuity plan in the case of emergencies and natural disasters.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Provide to the department an annual independent audit of the financial management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(17)</w:t>
      </w:r>
      <w:r>
        <w:rPr>
          <w:rFonts w:ascii="Times New Roman" w:hAnsi="Times New Roman"/>
          <w:b w:val="false"/>
          <w:i w:val="false"/>
          <w:color w:val="000000"/>
          <w:sz w:val="24"/>
        </w:rPr>
        <w:t>  </w:t>
      </w:r>
      <w:r>
        <w:rPr>
          <w:rFonts w:ascii="Times New Roman" w:hAnsi="Times New Roman"/>
          <w:b w:val="false"/>
          <w:i w:val="false"/>
          <w:color w:val="000000"/>
          <w:sz w:val="24"/>
        </w:rPr>
        <w:t>Assist in implementing the state’s quality management strategy related to the financial management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(18)</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may request that the financial management service provider withhold payment to any member or member’s employee to offset any overpayment or enforce any sanction placed on the service provider pursuant to rule </w:t>
      </w:r>
      <w:hyperlink r:id="rId261">
        <w:r>
          <w:rPr>
            <w:rStyle w:val="Hyperlink"/>
            <w:rFonts w:ascii="Times New Roman" w:hAnsi="Times New Roman"/>
            <w:b w:val="false"/>
            <w:i w:val="false"/>
            <w:color w:val="000000"/>
            <w:sz w:val="24"/>
          </w:rPr>
          <w:t>441—79.3</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color w:val="000000"/>
          <w:sz w:val="24"/>
        </w:rPr>
        <w:t xml:space="preserve">Responsibilities of the member and the employee. </w:t>
      </w:r>
      <w:r>
        <w:rPr>
          <w:rFonts w:ascii="Times New Roman" w:hAnsi="Times New Roman"/>
          <w:b w:val="false"/>
          <w:i w:val="false"/>
          <w:color w:val="000000"/>
          <w:sz w:val="24"/>
        </w:rPr>
        <w:t>A member participating in the CCO and the member’s employee(s) are responsible for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member participating in the CCO shall be jointly and severally liable with any of the member’s employees for any overpayment of medical assistance funds used through a CCO budget.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member may not employ any person who has been sanctioned, or who is affiliated with a person or an entity that has been sanctioned, under </w:t>
      </w:r>
      <w:hyperlink r:id="rId262">
        <w:r>
          <w:rPr>
            <w:rStyle w:val="Hyperlink"/>
            <w:rFonts w:ascii="Times New Roman" w:hAnsi="Times New Roman"/>
            <w:b w:val="false"/>
            <w:i w:val="false"/>
            <w:color w:val="000000"/>
            <w:sz w:val="24"/>
          </w:rPr>
          <w:t>441—Chapter 79</w:t>
        </w:r>
      </w:hyperlink>
      <w:r>
        <w:rPr>
          <w:rFonts w:ascii="Times New Roman" w:hAnsi="Times New Roman"/>
          <w:b w:val="false"/>
          <w:i w:val="false"/>
          <w:color w:val="000000"/>
          <w:sz w:val="24"/>
        </w:rPr>
        <w:t xml:space="preserve">. For purposes of this subparagraph, “sanction” also includes anyone who has been temporarily suspended for a credible allegation of fraud under </w:t>
      </w:r>
      <w:r>
        <w:rPr>
          <w:rFonts w:ascii="Times New Roman" w:hAnsi="Times New Roman"/>
          <w:b w:val="false"/>
          <w:i w:val="false"/>
          <w:color w:val="000000"/>
          <w:sz w:val="24"/>
        </w:rPr>
        <w:t>42 CFR Part 455</w:t>
      </w:r>
      <w:r>
        <w:rPr>
          <w:rFonts w:ascii="Times New Roman" w:hAnsi="Times New Roman"/>
          <w:b w:val="false"/>
          <w:i w:val="false"/>
          <w:color w:val="000000"/>
          <w:sz w:val="24"/>
        </w:rPr>
        <w:t xml:space="preserve"> as amended to July 1, 2026. Any CCO funds paid to any employee who or which has been sanctioned is an overpayment that the department shall recoup under </w:t>
      </w:r>
      <w:hyperlink r:id="rId263">
        <w:r>
          <w:rPr>
            <w:rStyle w:val="Hyperlink"/>
            <w:rFonts w:ascii="Times New Roman" w:hAnsi="Times New Roman"/>
            <w:b w:val="false"/>
            <w:i w:val="false"/>
            <w:color w:val="000000"/>
            <w:sz w:val="24"/>
          </w:rPr>
          <w:t>441—Chapter 79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 member may not employ any person who has been excluded by the Office of the Inspector General of the Department of Health and Human Services under </w:t>
      </w:r>
      <w:r>
        <w:rPr>
          <w:rFonts w:ascii="Times New Roman" w:hAnsi="Times New Roman"/>
          <w:b w:val="false"/>
          <w:i w:val="false"/>
          <w:color w:val="000000"/>
          <w:sz w:val="24"/>
        </w:rPr>
        <w:t>Sections 1128 or 1156 of the Social Security Act</w:t>
      </w:r>
      <w:r>
        <w:rPr>
          <w:rFonts w:ascii="Times New Roman" w:hAnsi="Times New Roman"/>
          <w:b w:val="false"/>
          <w:i w:val="false"/>
          <w:color w:val="000000"/>
          <w:sz w:val="24"/>
        </w:rPr>
        <w:t xml:space="preserve"> as amended to July 1, 2026, and is not eligible to receive federal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For personal care services, employees shall use an electronic visit verification system that captures all documentation requirements of the Consumer Choices Option Semi-Monthly Time Sheet or use a form prescribed by the department. All other employees shall complete, sign and date the Consumer Choices Option Semi-Monthly Time Sheet, for each date of service provided to a member. All employees shall maintain documentation that complies with rule </w:t>
      </w:r>
      <w:hyperlink r:id="rId264">
        <w:r>
          <w:rPr>
            <w:rStyle w:val="Hyperlink"/>
            <w:rFonts w:ascii="Times New Roman" w:hAnsi="Times New Roman"/>
            <w:b w:val="false"/>
            <w:i w:val="false"/>
            <w:color w:val="000000"/>
            <w:sz w:val="24"/>
          </w:rPr>
          <w:t>441—79.3</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Members shall sign, and certify under penalty of perjury, each employee timecard identified in subparagraph </w:t>
      </w:r>
      <w:hyperlink r:id="rId265">
        <w:r>
          <w:rPr>
            <w:rStyle w:val="Hyperlink"/>
            <w:rFonts w:ascii="Times New Roman" w:hAnsi="Times New Roman"/>
            <w:b w:val="false"/>
            <w:i w:val="false"/>
            <w:color w:val="000000"/>
            <w:sz w:val="24"/>
          </w:rPr>
          <w:t>78.34(13)</w:t>
        </w:r>
      </w:hyperlink>
      <w:r>
        <w:rPr>
          <w:rFonts w:ascii="Times New Roman" w:hAnsi="Times New Roman"/>
          <w:b w:val="false"/>
          <w:i/>
          <w:color w:val="000000"/>
          <w:sz w:val="24"/>
        </w:rPr>
        <w:t>“m”</w:t>
      </w:r>
      <w:r>
        <w:rPr>
          <w:rFonts w:ascii="Times New Roman" w:hAnsi="Times New Roman"/>
          <w:b w:val="false"/>
          <w:i w:val="false"/>
          <w:color w:val="000000"/>
          <w:sz w:val="24"/>
        </w:rPr>
        <w:t>(4) prior to the timecard’s submission to the financial management service provider for payment in order to verify that all information on the submitted timecard accurately describes the amount, duration, and scope of services provided. When timecard information is submitted to the financial management service provider in an electronic format, the member shall retain the signed employee timecard for five years from the date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78.34(14)</w:t>
      </w:r>
      <w:r>
        <w:rPr>
          <w:rFonts w:ascii="Times New Roman" w:hAnsi="Times New Roman"/>
          <w:b w:val="false"/>
          <w:i w:val="false"/>
          <w:color w:val="000000"/>
          <w:sz w:val="24"/>
        </w:rPr>
        <w:t> </w:t>
      </w:r>
      <w:r>
        <w:rPr>
          <w:rFonts w:ascii="Times New Roman" w:hAnsi="Times New Roman"/>
          <w:b w:val="false"/>
          <w:i/>
          <w:color w:val="000000"/>
          <w:sz w:val="24"/>
        </w:rPr>
        <w:t xml:space="preserve">General service standards. </w:t>
      </w:r>
      <w:r>
        <w:rPr>
          <w:rFonts w:ascii="Times New Roman" w:hAnsi="Times New Roman"/>
          <w:b w:val="false"/>
          <w:i w:val="false"/>
          <w:color w:val="000000"/>
          <w:sz w:val="24"/>
        </w:rPr>
        <w:t>All health and disability waiver services must be provided in accordance with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Reimbursement will not be available under the waiver for any services that the member can obtain as other nonwaiver Medicaid services or through any other funding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services provided under the waiver must be delivered in the least restrictive environment possible and in conformity with the member’s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All rights restrictions must be implemented in accordance with </w:t>
      </w:r>
      <w:hyperlink r:id="rId266">
        <w:r>
          <w:rPr>
            <w:rStyle w:val="Hyperlink"/>
            <w:rFonts w:ascii="Times New Roman" w:hAnsi="Times New Roman"/>
            <w:b w:val="false"/>
            <w:i w:val="false"/>
            <w:color w:val="000000"/>
            <w:sz w:val="24"/>
          </w:rPr>
          <w:t>441—subrule 77.30(4)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Services must be billed in whole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For all services with a 15-minute unit of service, the following rounding process will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Add together the minutes spent on all billable activities during a calendar day for a daily total.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each day, divide the total minutes spent on billable activities by 15 to determine the number of full 15-minute units for that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Round the remainder using these guidelines: Round 1 to 7 minutes down to zero units; round 8 to 14 minutes up to one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Add together the number of full units and the number of rounded units to determine the total number of units to bill for that day.</w:t>
      </w:r>
    </w:p>
    <w:p>
      <w:pPr>
        <w:spacing w:before="210" w:after="0" w:line="480"/>
        <w:ind w:left="120"/>
        <w:jc w:val="both"/>
      </w:pPr>
      <w:r>
        <w:rPr>
          <w:rFonts w:ascii="Times New Roman" w:hAnsi="Times New Roman"/>
          <w:b/>
          <w:i w:val="false"/>
          <w:color w:val="000000"/>
          <w:sz w:val="24"/>
        </w:rPr>
        <w:t>441—78.35</w:t>
      </w:r>
      <w:r>
        <w:rPr>
          <w:rFonts w:ascii="Times New Roman" w:hAnsi="Times New Roman"/>
          <w:b/>
          <w:i w:val="false"/>
          <w:color w:val="000000"/>
          <w:sz w:val="24"/>
        </w:rPr>
        <w:t xml:space="preserve">(249A) </w:t>
      </w:r>
      <w:r>
        <w:rPr>
          <w:rFonts w:ascii="Times New Roman" w:hAnsi="Times New Roman"/>
          <w:b/>
          <w:i w:val="false"/>
          <w:color w:val="000000"/>
          <w:sz w:val="24"/>
        </w:rPr>
        <w:t xml:space="preserve">Occupational therapist services. </w:t>
      </w:r>
      <w:r>
        <w:rPr>
          <w:rFonts w:ascii="Times New Roman" w:hAnsi="Times New Roman"/>
          <w:b w:val="false"/>
          <w:i w:val="false"/>
          <w:color w:val="000000"/>
          <w:sz w:val="24"/>
        </w:rPr>
        <w:t xml:space="preserve">Payment will be approved for the  services provided by an occupational therapist that follow a treatment plan established by the physician, nurse practitioner, clinical nurse specialist, or PA; are reasonable and necessary to the treatment of the patient’s illness or injury; and meet the guidelines defined for restorative, maintenance, or trial therapy as set forth in paragraphs </w:t>
      </w:r>
      <w:hyperlink r:id="rId267">
        <w:r>
          <w:rPr>
            <w:rStyle w:val="Hyperlink"/>
            <w:rFonts w:ascii="Times New Roman" w:hAnsi="Times New Roman"/>
            <w:b w:val="false"/>
            <w:i w:val="false"/>
            <w:color w:val="000000"/>
            <w:sz w:val="24"/>
          </w:rPr>
          <w:t>78.19(1)</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“c.”</w:t>
      </w:r>
    </w:p>
    <w:p>
      <w:pPr>
        <w:spacing w:before="0" w:after="0" w:line="480"/>
        <w:ind w:left="120"/>
        <w:jc w:val="both"/>
      </w:pPr>
      <w:r>
        <w:rPr>
          <w:rFonts w:ascii="Times New Roman" w:hAnsi="Times New Roman"/>
          <w:b/>
          <w:i w:val="false"/>
          <w:color w:val="000000"/>
          <w:sz w:val="24"/>
        </w:rPr>
        <w:t>441—78.36</w:t>
      </w:r>
      <w:r>
        <w:rPr>
          <w:rFonts w:ascii="Times New Roman" w:hAnsi="Times New Roman"/>
          <w:b/>
          <w:i w:val="false"/>
          <w:color w:val="000000"/>
          <w:sz w:val="24"/>
        </w:rPr>
        <w:t xml:space="preserve">(249A) </w:t>
      </w:r>
      <w:r>
        <w:rPr>
          <w:rFonts w:ascii="Times New Roman" w:hAnsi="Times New Roman"/>
          <w:b/>
          <w:i w:val="false"/>
          <w:color w:val="000000"/>
          <w:sz w:val="24"/>
        </w:rPr>
        <w:t xml:space="preserve">Hospice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78.36(1)</w:t>
      </w:r>
      <w:r>
        <w:rPr>
          <w:rFonts w:ascii="Times New Roman" w:hAnsi="Times New Roman"/>
          <w:b w:val="false"/>
          <w:i w:val="false"/>
          <w:color w:val="000000"/>
          <w:sz w:val="24"/>
        </w:rPr>
        <w:t> </w:t>
      </w:r>
      <w:r>
        <w:rPr>
          <w:rFonts w:ascii="Times New Roman" w:hAnsi="Times New Roman"/>
          <w:b w:val="false"/>
          <w:i/>
          <w:color w:val="000000"/>
          <w:sz w:val="24"/>
        </w:rPr>
        <w:t xml:space="preserve">General characteristics. </w:t>
      </w:r>
      <w:r>
        <w:rPr>
          <w:rFonts w:ascii="Times New Roman" w:hAnsi="Times New Roman"/>
          <w:b w:val="false"/>
          <w:i w:val="false"/>
          <w:color w:val="000000"/>
          <w:sz w:val="24"/>
        </w:rPr>
        <w:t>A hospice is a public agency or private organization or a subdivision of either that is primarily engaged in providing care to terminally ill individuals. A hospice provides palliative and supportive services to meet the physical, psychosocial, social and spiritual needs of a terminally ill individual and the individual’s family or other persons caring for the individual regardless of where the individual resides. Hospice services are those services to control pain and provide support to individuals to continue life with as little disruption as possible.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Covered services. Covered services include, in accordance with Medicare guidelines,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Nursing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Medical social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Physician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Counseling services provided to the terminally ill individual and the individual’s family members or other persons caring for the individual at the individual’s place of residence, including bereavement, dietary, and spiritual counseling.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Short-term inpatient care provided in a participating hospice inpatient unit or a participating hospital or nursing facility that additionally meets the special hospice standards regarding staffing and patient areas for pain control, symptom management and respite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Medical appliances and supplies, including drugs and biologicals, as needed for the palliation and management of the individual’s terminal illness and related conditions, except for “covered Part D drugs” as defined by </w:t>
      </w:r>
      <w:r>
        <w:rPr>
          <w:rFonts w:ascii="Times New Roman" w:hAnsi="Times New Roman"/>
          <w:b w:val="false"/>
          <w:i w:val="false"/>
          <w:color w:val="000000"/>
          <w:sz w:val="24"/>
        </w:rPr>
        <w:t>42 U.S.C.</w:t>
      </w:r>
      <w:r>
        <w:rPr>
          <w:rFonts w:ascii="Times New Roman" w:hAnsi="Times New Roman"/>
          <w:b w:val="false"/>
          <w:i w:val="false"/>
          <w:color w:val="000000"/>
          <w:sz w:val="24"/>
        </w:rPr>
        <w:t xml:space="preserve"> Section 1395w-102(e)(1)-(2) as amended to July 1, 2026, for a “Part D eligible individual” as defined in </w:t>
      </w:r>
      <w:r>
        <w:rPr>
          <w:rFonts w:ascii="Times New Roman" w:hAnsi="Times New Roman"/>
          <w:b w:val="false"/>
          <w:i w:val="false"/>
          <w:color w:val="000000"/>
          <w:sz w:val="24"/>
        </w:rPr>
        <w:t>42 U.S.C.</w:t>
      </w:r>
      <w:r>
        <w:rPr>
          <w:rFonts w:ascii="Times New Roman" w:hAnsi="Times New Roman"/>
          <w:b w:val="false"/>
          <w:i w:val="false"/>
          <w:color w:val="000000"/>
          <w:sz w:val="24"/>
        </w:rPr>
        <w:t xml:space="preserve"> Section 1395w-101(a)(3)(A) as amended to July 1, 2026, including an individual who is not enrolled in a Part D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Home maintenance support and home health aide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Physical therapy, occupational therapy and speech-language pathology unless this provision has been waived under the Medicare program for a specific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Other items or services specified in the resident’s plan that would otherwise be paid under the Medicaid program.</w:t>
      </w:r>
    </w:p>
    <w:p>
      <w:pPr>
        <w:spacing w:before="0" w:after="0" w:line="480"/>
        <w:ind w:left="120"/>
        <w:jc w:val="both"/>
      </w:pPr>
      <w:r>
        <w:rPr>
          <w:rFonts w:ascii="Times New Roman" w:hAnsi="Times New Roman"/>
          <w:b w:val="false"/>
          <w:i w:val="false"/>
          <w:color w:val="000000"/>
          <w:sz w:val="24"/>
        </w:rPr>
        <w:t>Nursing care, medical social services, and counseling are core hospice services and must routinely be provided directly by hospice employees. The hospice may contract with other providers to provide the remaining services. Bereavement counseling, consisting of counseling services provided after the individual’s death to the individual’s family or other persons caring for the individual, is a required hospice service but is not reimbursable.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Noncovered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Covered services not related to the terminal illness. In accordance with Medicare guidelines, all medical services related to the terminal illness are the responsibility of the hospice. Services unrelated to the terminal illness are to be billed separately by the respective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Administrative duties performed by the medical director, any hospice-employed physician, or any consulting physician are included in the normal hospice rates. Patient care provided by the medical director, hospice-employed physician, attending physician, or consulting physician is separately reimbursable. Payment to the attending or consulting physician includes other partners in practice.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Hospice care provided by a hospice other than the hospice designated by the individual unless provided under arrangements made by the designated hospice.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Curative antiviral drugs targeted at the human immunodeficiency virus for the treatment of AIDS.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78.36(2)</w:t>
      </w:r>
      <w:r>
        <w:rPr>
          <w:rFonts w:ascii="Times New Roman" w:hAnsi="Times New Roman"/>
          <w:b w:val="false"/>
          <w:i w:val="false"/>
          <w:color w:val="000000"/>
          <w:sz w:val="24"/>
        </w:rPr>
        <w:t> </w:t>
      </w:r>
      <w:r>
        <w:rPr>
          <w:rFonts w:ascii="Times New Roman" w:hAnsi="Times New Roman"/>
          <w:b w:val="false"/>
          <w:i/>
          <w:color w:val="000000"/>
          <w:sz w:val="24"/>
        </w:rPr>
        <w:t xml:space="preserve">Categories of care. </w:t>
      </w:r>
      <w:r>
        <w:rPr>
          <w:rFonts w:ascii="Times New Roman" w:hAnsi="Times New Roman"/>
          <w:b w:val="false"/>
          <w:i w:val="false"/>
          <w:color w:val="000000"/>
          <w:sz w:val="24"/>
        </w:rPr>
        <w:t>Hospice care entails the following four categories of daily care. Guidelines for core and other services must be adhered to for all categories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Routine home care is care provided in the place of residence that is not continuous.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Continuous home care is provided only during a period of crisis when an individual requires continuous care that is primarily nursing care to achieve palliation or management of acute medical symptoms. Nursing care must be provided by either a registered nurse or a licensed practical nurse and a nurse must be providing care for more than half of the period of care. A minimum of eight hours of care per day must be provided during a 24-hour day to qualify as continuous care. Home maintenance support and aide services may also be provided to supplement the nursing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Inpatient respite care is provided to the individual only when necessary to relieve the family members or other persons caring for the individual at home. Respite care may be provided only on an occasional basis and may not be reimbursed for more than five consecutive days at a time. Respite care may not be provided when the individual is a resident of a nursing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General inpatient care is provided in periods of acute medical crisis when the individual is hospitalized or in a participating hospice inpatient unit or nursing facility for pain control or acute or chronic symptom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78.36(3)</w:t>
      </w:r>
      <w:r>
        <w:rPr>
          <w:rFonts w:ascii="Times New Roman" w:hAnsi="Times New Roman"/>
          <w:b w:val="false"/>
          <w:i w:val="false"/>
          <w:color w:val="000000"/>
          <w:sz w:val="24"/>
        </w:rPr>
        <w:t> </w:t>
      </w:r>
      <w:r>
        <w:rPr>
          <w:rFonts w:ascii="Times New Roman" w:hAnsi="Times New Roman"/>
          <w:b w:val="false"/>
          <w:i/>
          <w:color w:val="000000"/>
          <w:sz w:val="24"/>
        </w:rPr>
        <w:t xml:space="preserve">Residence in a nursing facility. </w:t>
      </w:r>
      <w:r>
        <w:rPr>
          <w:rFonts w:ascii="Times New Roman" w:hAnsi="Times New Roman"/>
          <w:b w:val="false"/>
          <w:i w:val="false"/>
          <w:color w:val="000000"/>
          <w:sz w:val="24"/>
        </w:rPr>
        <w:t>For purposes of the Medicaid hospice benefit, a nursing facility can be considered the residence of a beneficiary. When the person does reside in a nursing facility, the requirement that the care of a resident of a nursing facility must be provided under the immediate direction of either the facility or the resident’s personal physician does not apply if all of the following conditions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resident is terminally 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resident has elected to receive hospice services under the Medicaid program from a Medicaid-enrolled hospice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nursing facility and the Medicaid-enrolled hospice program have entered into a written agreement under which the hospice program takes full responsibility for the professional management of the resident’s hospice care and the facility agrees to provide room and board to the resident.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78.36(4)</w:t>
      </w:r>
      <w:r>
        <w:rPr>
          <w:rFonts w:ascii="Times New Roman" w:hAnsi="Times New Roman"/>
          <w:b w:val="false"/>
          <w:i w:val="false"/>
          <w:color w:val="000000"/>
          <w:sz w:val="24"/>
        </w:rPr>
        <w:t> </w:t>
      </w:r>
      <w:r>
        <w:rPr>
          <w:rFonts w:ascii="Times New Roman" w:hAnsi="Times New Roman"/>
          <w:b w:val="false"/>
          <w:i/>
          <w:color w:val="000000"/>
          <w:sz w:val="24"/>
        </w:rPr>
        <w:t xml:space="preserve">Approval for hospice benefits. </w:t>
      </w:r>
      <w:r>
        <w:rPr>
          <w:rFonts w:ascii="Times New Roman" w:hAnsi="Times New Roman"/>
          <w:b w:val="false"/>
          <w:i w:val="false"/>
          <w:color w:val="000000"/>
          <w:sz w:val="24"/>
        </w:rPr>
        <w:t>Payment will be approved for hospice services to individuals who are certified as terminally ill, that is, the individuals have a medical prognosis that their life expectancy is six months or less if the illness runs its normal course, and who elect hospice care rather than active treatment for the illness.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Physician certification process. </w:t>
      </w:r>
      <w:r>
        <w:rPr>
          <w:rFonts w:ascii="Times New Roman" w:hAnsi="Times New Roman"/>
          <w:b w:val="false"/>
          <w:i w:val="false"/>
          <w:color w:val="000000"/>
          <w:sz w:val="24"/>
        </w:rPr>
        <w:t>The hospice must obtain certification that an individual is terminally ill in accordance with the following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hospice may obtain verbal orders to initiate hospice service from the medical director of the hospice or the physician member of the hospice interdisciplinary group and by the individual’s attending physician (if the individual has an attending physician). The verbal order shall be noted in the patient’s record. The verbal order must be given within two days of the start of care and be followed up in writing no later than eight calendar days after hospice care is initiated. The certification must include the statement that the individual’s medical prognosis is that the individual’s life expectancy is six months or less if the illness runs its normal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When verbal orders are not secured, the hospice must obtain, no later than two calendar days after hospice care is initiated, written certification signed by the medical director of the hospice or the physician member of the hospice interdisciplinary group and by the individual’s attending physician (if the individual has an attending physician). The certification must include the statement that the individual’s medical prognosis is that the individual’s life expectancy is six months or less, if the illness runs its normal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Hospice care benefit periods consist of up to two periods of 90 days each and an unlimited number of subsequent 60-day periods as elected by the individual. The medical director or a physician must recertify at the beginning of each benefit period that the individual is terminally 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Election procedures. </w:t>
      </w:r>
      <w:r>
        <w:rPr>
          <w:rFonts w:ascii="Times New Roman" w:hAnsi="Times New Roman"/>
          <w:b w:val="false"/>
          <w:i w:val="false"/>
          <w:color w:val="000000"/>
          <w:sz w:val="24"/>
        </w:rPr>
        <w:t>Individuals who are dually eligible for Medicare and Medicaid must receive hospice coverage under Medicare.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Election statement. An individual, or individual’s representative, elects to receive the hospice benefit by filing an election statement, the Election of Medicaid Hospice Benefit form, or a Medicare election of hospice benefit form, with a particular hospice. The hospice may provide the individual with another election form to use provided the form includes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Identification of the hospice that will provide the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Acknowledgment that the recipient has been given a full understanding of hospice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Acknowledgment that the recipient waives the right to regular Medicaid benefits, except for payment to the regular physician and treatment for medical conditions unrelated to the terminal illness.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Acknowledgment that recipients are not responsible for copayment or other deductibles.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recipient’s Medicaid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effective date of election.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recipient’s signature.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Change of designation. An individual may change the designation of the particular hospice from which the individual elects to receive hospice care one time only.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Effective date. An individual may designate an effective date for the hospice benefit that begins with the first day of the hospice care or any subsequent day of hospice care, but an individual may not designate an effective date that is earlier than the date that the election is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Duration of election. The election to receive hospice care will be considered to continue until one of the following occurs: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individual dies.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individual or the individual’s representative revokes the election.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individual’s situation changes so that the individual no longer qualifies for the hospice benefit.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hospice elects to terminate the recipient’s enrollment in accordance with the hospice’s established discharge policy.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Revocation. A Revocation of Medicaid Hospice Benefit form is completed when an individual or the individual’s representative revokes the hospice benefit allowed under Medicaid. When an individual revokes the election of Medicaid coverage of hospice care, the individual resumes Medicaid coverage of the benefits waived when hospice care was elected.</w:t>
      </w:r>
    </w:p>
    <w:p>
      <w:pPr>
        <w:spacing w:before="0" w:after="0" w:line="480"/>
        <w:ind w:left="120"/>
        <w:jc w:val="both"/>
      </w:pPr>
      <w:r>
        <w:rPr>
          <w:rFonts w:ascii="Times New Roman" w:hAnsi="Times New Roman"/>
          <w:b/>
          <w:i w:val="false"/>
          <w:color w:val="000000"/>
          <w:sz w:val="24"/>
        </w:rPr>
        <w:t>441—78.37</w:t>
      </w:r>
      <w:r>
        <w:rPr>
          <w:rFonts w:ascii="Times New Roman" w:hAnsi="Times New Roman"/>
          <w:b/>
          <w:i w:val="false"/>
          <w:color w:val="000000"/>
          <w:sz w:val="24"/>
        </w:rPr>
        <w:t xml:space="preserve">(249A) </w:t>
      </w:r>
      <w:r>
        <w:rPr>
          <w:rFonts w:ascii="Times New Roman" w:hAnsi="Times New Roman"/>
          <w:b/>
          <w:i w:val="false"/>
          <w:color w:val="000000"/>
          <w:sz w:val="24"/>
        </w:rPr>
        <w:t xml:space="preserve">HCBS elderly waiver services. </w:t>
      </w:r>
      <w:r>
        <w:rPr>
          <w:rFonts w:ascii="Times New Roman" w:hAnsi="Times New Roman"/>
          <w:b w:val="false"/>
          <w:i w:val="false"/>
          <w:color w:val="000000"/>
          <w:sz w:val="24"/>
        </w:rPr>
        <w:t xml:space="preserve">Payment will be approved for the following services to members eligible for the HCBS elderly waiver services as established in </w:t>
      </w:r>
      <w:hyperlink r:id="rId268">
        <w:r>
          <w:rPr>
            <w:rStyle w:val="Hyperlink"/>
            <w:rFonts w:ascii="Times New Roman" w:hAnsi="Times New Roman"/>
            <w:b w:val="false"/>
            <w:i w:val="false"/>
            <w:color w:val="000000"/>
            <w:sz w:val="24"/>
          </w:rPr>
          <w:t>441—Chapter 83</w:t>
        </w:r>
      </w:hyperlink>
      <w:r>
        <w:rPr>
          <w:rFonts w:ascii="Times New Roman" w:hAnsi="Times New Roman"/>
          <w:b w:val="false"/>
          <w:i w:val="false"/>
          <w:color w:val="000000"/>
          <w:sz w:val="24"/>
        </w:rPr>
        <w:t xml:space="preserve"> and as identified in the member’s service plan. Payment will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78.37(1)</w:t>
      </w:r>
      <w:r>
        <w:rPr>
          <w:rFonts w:ascii="Times New Roman" w:hAnsi="Times New Roman"/>
          <w:b w:val="false"/>
          <w:i w:val="false"/>
          <w:color w:val="000000"/>
          <w:sz w:val="24"/>
        </w:rPr>
        <w:t> </w:t>
      </w:r>
      <w:r>
        <w:rPr>
          <w:rFonts w:ascii="Times New Roman" w:hAnsi="Times New Roman"/>
          <w:b w:val="false"/>
          <w:i/>
          <w:color w:val="000000"/>
          <w:sz w:val="24"/>
        </w:rPr>
        <w:t xml:space="preserve">Adult day care services. </w:t>
      </w:r>
      <w:r>
        <w:rPr>
          <w:rFonts w:ascii="Times New Roman" w:hAnsi="Times New Roman"/>
          <w:b w:val="false"/>
          <w:i w:val="false"/>
          <w:color w:val="000000"/>
          <w:sz w:val="24"/>
        </w:rPr>
        <w:t xml:space="preserve">Adult day care services are activities provided pursuant to subrule </w:t>
      </w:r>
      <w:hyperlink r:id="rId269">
        <w:r>
          <w:rPr>
            <w:rStyle w:val="Hyperlink"/>
            <w:rFonts w:ascii="Times New Roman" w:hAnsi="Times New Roman"/>
            <w:b w:val="false"/>
            <w:i w:val="false"/>
            <w:color w:val="000000"/>
            <w:sz w:val="24"/>
          </w:rPr>
          <w:t>78.34(3)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78.37(2)</w:t>
      </w:r>
      <w:r>
        <w:rPr>
          <w:rFonts w:ascii="Times New Roman" w:hAnsi="Times New Roman"/>
          <w:b w:val="false"/>
          <w:i w:val="false"/>
          <w:color w:val="000000"/>
          <w:sz w:val="24"/>
        </w:rPr>
        <w:t> </w:t>
      </w:r>
      <w:r>
        <w:rPr>
          <w:rFonts w:ascii="Times New Roman" w:hAnsi="Times New Roman"/>
          <w:b w:val="false"/>
          <w:i/>
          <w:color w:val="000000"/>
          <w:sz w:val="24"/>
        </w:rPr>
        <w:t xml:space="preserve">Personal emergency response or portable locator system. </w:t>
      </w:r>
      <w:r>
        <w:rPr>
          <w:rFonts w:ascii="Times New Roman" w:hAnsi="Times New Roman"/>
          <w:b w:val="false"/>
          <w:i w:val="false"/>
          <w:color w:val="000000"/>
          <w:sz w:val="24"/>
        </w:rPr>
        <w:t xml:space="preserve">A personal emergency response or portable locator system are services provided pursuant to subrule </w:t>
      </w:r>
      <w:hyperlink r:id="rId270">
        <w:r>
          <w:rPr>
            <w:rStyle w:val="Hyperlink"/>
            <w:rFonts w:ascii="Times New Roman" w:hAnsi="Times New Roman"/>
            <w:b w:val="false"/>
            <w:i w:val="false"/>
            <w:color w:val="000000"/>
            <w:sz w:val="24"/>
          </w:rPr>
          <w:t>78.34(10)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78.37(3)</w:t>
      </w:r>
      <w:r>
        <w:rPr>
          <w:rFonts w:ascii="Times New Roman" w:hAnsi="Times New Roman"/>
          <w:b w:val="false"/>
          <w:i w:val="false"/>
          <w:color w:val="000000"/>
          <w:sz w:val="24"/>
        </w:rPr>
        <w:t> </w:t>
      </w:r>
      <w:r>
        <w:rPr>
          <w:rFonts w:ascii="Times New Roman" w:hAnsi="Times New Roman"/>
          <w:b w:val="false"/>
          <w:i/>
          <w:color w:val="000000"/>
          <w:sz w:val="24"/>
        </w:rPr>
        <w:t xml:space="preserve">Home health aide services. </w:t>
      </w:r>
      <w:r>
        <w:rPr>
          <w:rFonts w:ascii="Times New Roman" w:hAnsi="Times New Roman"/>
          <w:b w:val="false"/>
          <w:i w:val="false"/>
          <w:color w:val="000000"/>
          <w:sz w:val="24"/>
        </w:rPr>
        <w:t xml:space="preserve">Home health aide services are personal or direct care services provided to the client which are not payable under Medicaid as set forth in rule </w:t>
      </w:r>
      <w:hyperlink r:id="rId271">
        <w:r>
          <w:rPr>
            <w:rStyle w:val="Hyperlink"/>
            <w:rFonts w:ascii="Times New Roman" w:hAnsi="Times New Roman"/>
            <w:b w:val="false"/>
            <w:i w:val="false"/>
            <w:color w:val="000000"/>
            <w:sz w:val="24"/>
          </w:rPr>
          <w:t>441—78.9</w:t>
        </w:r>
      </w:hyperlink>
      <w:r>
        <w:rPr>
          <w:rFonts w:ascii="Times New Roman" w:hAnsi="Times New Roman"/>
          <w:b w:val="false"/>
          <w:i w:val="false"/>
          <w:color w:val="000000"/>
          <w:sz w:val="24"/>
        </w:rPr>
        <w:t>(249A). A unit of service is a visit. Components of the service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Observation and reporting of physical or emotional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Helping a client with bath, shampoo, or oral hygiene.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Helping a client with toileting.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Helping a client in and out of bed and with ambulation.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Helping a client reestablish activities of daily living.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Assisting with oral medications ordinarily self-administered and ordered by a physician.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Performing incidental household services which are essential to the client’s health care at home and are necessary to prevent or postpone institutionalization in order to complete a full unit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78.37(4)</w:t>
      </w:r>
      <w:r>
        <w:rPr>
          <w:rFonts w:ascii="Times New Roman" w:hAnsi="Times New Roman"/>
          <w:b w:val="false"/>
          <w:i w:val="false"/>
          <w:color w:val="000000"/>
          <w:sz w:val="24"/>
        </w:rPr>
        <w:t> </w:t>
      </w:r>
      <w:r>
        <w:rPr>
          <w:rFonts w:ascii="Times New Roman" w:hAnsi="Times New Roman"/>
          <w:b w:val="false"/>
          <w:i/>
          <w:color w:val="000000"/>
          <w:sz w:val="24"/>
        </w:rPr>
        <w:t xml:space="preserve">Home maintenance support services. </w:t>
      </w:r>
      <w:r>
        <w:rPr>
          <w:rFonts w:ascii="Times New Roman" w:hAnsi="Times New Roman"/>
          <w:b w:val="false"/>
          <w:i w:val="false"/>
          <w:color w:val="000000"/>
          <w:sz w:val="24"/>
        </w:rPr>
        <w:t xml:space="preserve">Home maintenance support services  are  activities provided pursuant to subrule </w:t>
      </w:r>
      <w:hyperlink r:id="rId272">
        <w:r>
          <w:rPr>
            <w:rStyle w:val="Hyperlink"/>
            <w:rFonts w:ascii="Times New Roman" w:hAnsi="Times New Roman"/>
            <w:b w:val="false"/>
            <w:i w:val="false"/>
            <w:color w:val="000000"/>
            <w:sz w:val="24"/>
          </w:rPr>
          <w:t>78.34(1)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78.37(5)</w:t>
      </w:r>
      <w:r>
        <w:rPr>
          <w:rFonts w:ascii="Times New Roman" w:hAnsi="Times New Roman"/>
          <w:b w:val="false"/>
          <w:i w:val="false"/>
          <w:color w:val="000000"/>
          <w:sz w:val="24"/>
        </w:rPr>
        <w:t> </w:t>
      </w:r>
      <w:r>
        <w:rPr>
          <w:rFonts w:ascii="Times New Roman" w:hAnsi="Times New Roman"/>
          <w:b w:val="false"/>
          <w:i/>
          <w:color w:val="000000"/>
          <w:sz w:val="24"/>
        </w:rPr>
        <w:t xml:space="preserve">Nursing care services. </w:t>
      </w:r>
      <w:r>
        <w:rPr>
          <w:rFonts w:ascii="Times New Roman" w:hAnsi="Times New Roman"/>
          <w:b w:val="false"/>
          <w:i w:val="false"/>
          <w:color w:val="000000"/>
          <w:sz w:val="24"/>
        </w:rPr>
        <w:t>Nursing care services are an extension of the State Plan, are included in the plan of treatment approved by the physician, and are provided by licensed agency nurses to members in the home or community. The services are reasonable and necessary to the treatment of an illness or injury and include all nursing tasks recognized by the board of nursing. A unit of service is one visit. Nursing care service can pay for a maximum of eight nursing visits per month for intermediate level of care persons. There is no limit on the maximum visits for skilled level of care persons.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78.37(6)</w:t>
      </w:r>
      <w:r>
        <w:rPr>
          <w:rFonts w:ascii="Times New Roman" w:hAnsi="Times New Roman"/>
          <w:b w:val="false"/>
          <w:i w:val="false"/>
          <w:color w:val="000000"/>
          <w:sz w:val="24"/>
        </w:rPr>
        <w:t> </w:t>
      </w:r>
      <w:r>
        <w:rPr>
          <w:rFonts w:ascii="Times New Roman" w:hAnsi="Times New Roman"/>
          <w:b w:val="false"/>
          <w:i/>
          <w:color w:val="000000"/>
          <w:sz w:val="24"/>
        </w:rPr>
        <w:t xml:space="preserve">Respite care services. </w:t>
      </w:r>
      <w:r>
        <w:rPr>
          <w:rFonts w:ascii="Times New Roman" w:hAnsi="Times New Roman"/>
          <w:b w:val="false"/>
          <w:i w:val="false"/>
          <w:color w:val="000000"/>
          <w:sz w:val="24"/>
        </w:rPr>
        <w:t xml:space="preserve">Respite care services are service activities provided pursuant to subrule </w:t>
      </w:r>
      <w:hyperlink r:id="rId273">
        <w:r>
          <w:rPr>
            <w:rStyle w:val="Hyperlink"/>
            <w:rFonts w:ascii="Times New Roman" w:hAnsi="Times New Roman"/>
            <w:b w:val="false"/>
            <w:i w:val="false"/>
            <w:color w:val="000000"/>
            <w:sz w:val="24"/>
          </w:rPr>
          <w:t>78.34(5)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78.37(7)</w:t>
      </w:r>
      <w:r>
        <w:rPr>
          <w:rFonts w:ascii="Times New Roman" w:hAnsi="Times New Roman"/>
          <w:b w:val="false"/>
          <w:i w:val="false"/>
          <w:color w:val="000000"/>
          <w:sz w:val="24"/>
        </w:rPr>
        <w:t> </w:t>
      </w:r>
      <w:r>
        <w:rPr>
          <w:rFonts w:ascii="Times New Roman" w:hAnsi="Times New Roman"/>
          <w:b w:val="false"/>
          <w:i/>
          <w:color w:val="000000"/>
          <w:sz w:val="24"/>
        </w:rPr>
        <w:t xml:space="preserve">Home-delivered meals. </w:t>
      </w:r>
      <w:r>
        <w:rPr>
          <w:rFonts w:ascii="Times New Roman" w:hAnsi="Times New Roman"/>
          <w:b w:val="false"/>
          <w:i w:val="false"/>
          <w:color w:val="000000"/>
          <w:sz w:val="24"/>
        </w:rPr>
        <w:t xml:space="preserve">Home-delivered meals are meals provided pursuant to subrule </w:t>
      </w:r>
      <w:hyperlink r:id="rId274">
        <w:r>
          <w:rPr>
            <w:rStyle w:val="Hyperlink"/>
            <w:rFonts w:ascii="Times New Roman" w:hAnsi="Times New Roman"/>
            <w:b w:val="false"/>
            <w:i w:val="false"/>
            <w:color w:val="000000"/>
            <w:sz w:val="24"/>
          </w:rPr>
          <w:t>78.34(11)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78.37(8)</w:t>
      </w:r>
      <w:r>
        <w:rPr>
          <w:rFonts w:ascii="Times New Roman" w:hAnsi="Times New Roman"/>
          <w:b w:val="false"/>
          <w:i w:val="false"/>
          <w:color w:val="000000"/>
          <w:sz w:val="24"/>
        </w:rPr>
        <w:t> </w:t>
      </w:r>
      <w:r>
        <w:rPr>
          <w:rFonts w:ascii="Times New Roman" w:hAnsi="Times New Roman"/>
          <w:b w:val="false"/>
          <w:i/>
          <w:color w:val="000000"/>
          <w:sz w:val="24"/>
        </w:rPr>
        <w:t xml:space="preserve">Home and vehicle modification. </w:t>
      </w:r>
      <w:r>
        <w:rPr>
          <w:rFonts w:ascii="Times New Roman" w:hAnsi="Times New Roman"/>
          <w:b w:val="false"/>
          <w:i w:val="false"/>
          <w:color w:val="000000"/>
          <w:sz w:val="24"/>
        </w:rPr>
        <w:t xml:space="preserve">Covered home or vehicle modifications are activities provided pursuant to subrule </w:t>
      </w:r>
      <w:hyperlink r:id="rId275">
        <w:r>
          <w:rPr>
            <w:rStyle w:val="Hyperlink"/>
            <w:rFonts w:ascii="Times New Roman" w:hAnsi="Times New Roman"/>
            <w:b w:val="false"/>
            <w:i w:val="false"/>
            <w:color w:val="000000"/>
            <w:sz w:val="24"/>
          </w:rPr>
          <w:t>78.34(9)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78.37(9)</w:t>
      </w:r>
      <w:r>
        <w:rPr>
          <w:rFonts w:ascii="Times New Roman" w:hAnsi="Times New Roman"/>
          <w:b w:val="false"/>
          <w:i w:val="false"/>
          <w:color w:val="000000"/>
          <w:sz w:val="24"/>
        </w:rPr>
        <w:t> </w:t>
      </w:r>
      <w:r>
        <w:rPr>
          <w:rFonts w:ascii="Times New Roman" w:hAnsi="Times New Roman"/>
          <w:b w:val="false"/>
          <w:i/>
          <w:color w:val="000000"/>
          <w:sz w:val="24"/>
        </w:rPr>
        <w:t xml:space="preserve">Senior companion. </w:t>
      </w:r>
      <w:r>
        <w:rPr>
          <w:rFonts w:ascii="Times New Roman" w:hAnsi="Times New Roman"/>
          <w:b w:val="false"/>
          <w:i w:val="false"/>
          <w:color w:val="000000"/>
          <w:sz w:val="24"/>
        </w:rPr>
        <w:t>Senior companion services are nonmedical care supervision, oversight, and respite. Companions may assist with such tasks as meal preparation, laundry, shopping and light housekeeping tasks. This service cannot provide hands-on nursing or medical care. A unit of service is 15 minutes.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78.37(10)</w:t>
      </w:r>
      <w:r>
        <w:rPr>
          <w:rFonts w:ascii="Times New Roman" w:hAnsi="Times New Roman"/>
          <w:b w:val="false"/>
          <w:i w:val="false"/>
          <w:color w:val="000000"/>
          <w:sz w:val="24"/>
        </w:rPr>
        <w:t> </w:t>
      </w:r>
      <w:r>
        <w:rPr>
          <w:rFonts w:ascii="Times New Roman" w:hAnsi="Times New Roman"/>
          <w:b w:val="false"/>
          <w:i/>
          <w:color w:val="000000"/>
          <w:sz w:val="24"/>
        </w:rPr>
        <w:t xml:space="preserve">Attendant care service. </w:t>
      </w:r>
      <w:r>
        <w:rPr>
          <w:rFonts w:ascii="Times New Roman" w:hAnsi="Times New Roman"/>
          <w:b w:val="false"/>
          <w:i w:val="false"/>
          <w:color w:val="000000"/>
          <w:sz w:val="24"/>
        </w:rPr>
        <w:t xml:space="preserve">Attendant care services are service activities performed pursuant to subrule </w:t>
      </w:r>
      <w:hyperlink r:id="rId276">
        <w:r>
          <w:rPr>
            <w:rStyle w:val="Hyperlink"/>
            <w:rFonts w:ascii="Times New Roman" w:hAnsi="Times New Roman"/>
            <w:b w:val="false"/>
            <w:i w:val="false"/>
            <w:color w:val="000000"/>
            <w:sz w:val="24"/>
          </w:rPr>
          <w:t>78.34(7)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78.37(11)</w:t>
      </w:r>
      <w:r>
        <w:rPr>
          <w:rFonts w:ascii="Times New Roman" w:hAnsi="Times New Roman"/>
          <w:b w:val="false"/>
          <w:i w:val="false"/>
          <w:color w:val="000000"/>
          <w:sz w:val="24"/>
        </w:rPr>
        <w:t> </w:t>
      </w:r>
      <w:r>
        <w:rPr>
          <w:rFonts w:ascii="Times New Roman" w:hAnsi="Times New Roman"/>
          <w:b w:val="false"/>
          <w:i/>
          <w:color w:val="000000"/>
          <w:sz w:val="24"/>
        </w:rPr>
        <w:t xml:space="preserve">CCO. </w:t>
      </w:r>
      <w:r>
        <w:rPr>
          <w:rFonts w:ascii="Times New Roman" w:hAnsi="Times New Roman"/>
          <w:b w:val="false"/>
          <w:i w:val="false"/>
          <w:color w:val="000000"/>
          <w:sz w:val="24"/>
        </w:rPr>
        <w:t xml:space="preserve">The CCO is service activities provided pursuant to subrule </w:t>
      </w:r>
      <w:hyperlink r:id="rId277">
        <w:r>
          <w:rPr>
            <w:rStyle w:val="Hyperlink"/>
            <w:rFonts w:ascii="Times New Roman" w:hAnsi="Times New Roman"/>
            <w:b w:val="false"/>
            <w:i w:val="false"/>
            <w:color w:val="000000"/>
            <w:sz w:val="24"/>
          </w:rPr>
          <w:t>78.34(13)</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78.37(12)</w:t>
      </w:r>
      <w:r>
        <w:rPr>
          <w:rFonts w:ascii="Times New Roman" w:hAnsi="Times New Roman"/>
          <w:b w:val="false"/>
          <w:i w:val="false"/>
          <w:color w:val="000000"/>
          <w:sz w:val="24"/>
        </w:rPr>
        <w:t> </w:t>
      </w:r>
      <w:r>
        <w:rPr>
          <w:rFonts w:ascii="Times New Roman" w:hAnsi="Times New Roman"/>
          <w:b w:val="false"/>
          <w:i/>
          <w:color w:val="000000"/>
          <w:sz w:val="24"/>
        </w:rPr>
        <w:t xml:space="preserve">Case management services. </w:t>
      </w:r>
      <w:r>
        <w:rPr>
          <w:rFonts w:ascii="Times New Roman" w:hAnsi="Times New Roman"/>
          <w:b w:val="false"/>
          <w:i w:val="false"/>
          <w:color w:val="000000"/>
          <w:sz w:val="24"/>
        </w:rPr>
        <w:t xml:space="preserve">Case management services are services that assist Medicaid members who reside in a community setting or are transitioning to a community setting in gaining access to needed medical, social, educational, housing, transportation, vocational, and other appropriate services in order to ensure the health, safety, and welfare of the member. Case management is provided at the direction of the member and the interdisciplinary team established pursuant to </w:t>
      </w:r>
      <w:hyperlink r:id="rId278">
        <w:r>
          <w:rPr>
            <w:rStyle w:val="Hyperlink"/>
            <w:rFonts w:ascii="Times New Roman" w:hAnsi="Times New Roman"/>
            <w:b w:val="false"/>
            <w:i w:val="false"/>
            <w:color w:val="000000"/>
            <w:sz w:val="24"/>
          </w:rPr>
          <w:t>441—subrule 83.22(2)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Case management services shall be provided as set forth in rules </w:t>
      </w:r>
      <w:hyperlink r:id="rId279">
        <w:r>
          <w:rPr>
            <w:rStyle w:val="Hyperlink"/>
            <w:rFonts w:ascii="Times New Roman" w:hAnsi="Times New Roman"/>
            <w:b w:val="false"/>
            <w:i w:val="false"/>
            <w:color w:val="000000"/>
            <w:sz w:val="24"/>
          </w:rPr>
          <w:t>441—90.4</w:t>
        </w:r>
      </w:hyperlink>
      <w:r>
        <w:rPr>
          <w:rFonts w:ascii="Times New Roman" w:hAnsi="Times New Roman"/>
          <w:b w:val="false"/>
          <w:i w:val="false"/>
          <w:color w:val="000000"/>
          <w:sz w:val="24"/>
        </w:rPr>
        <w:t xml:space="preserve">(249A) through </w:t>
      </w:r>
      <w:hyperlink r:id="rId280">
        <w:r>
          <w:rPr>
            <w:rStyle w:val="Hyperlink"/>
            <w:rFonts w:ascii="Times New Roman" w:hAnsi="Times New Roman"/>
            <w:b w:val="false"/>
            <w:i w:val="false"/>
            <w:color w:val="000000"/>
            <w:sz w:val="24"/>
          </w:rPr>
          <w:t>441—90.7</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Case management shall not include the provision of direct services by the case managers.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Payment for case management shall not be made until the member is enrolled in the waiver. Payment shall be made only for case management services performed on behalf of the member during a month when the member is enrolled.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78.37(13)</w:t>
      </w:r>
      <w:r>
        <w:rPr>
          <w:rFonts w:ascii="Times New Roman" w:hAnsi="Times New Roman"/>
          <w:b w:val="false"/>
          <w:i w:val="false"/>
          <w:color w:val="000000"/>
          <w:sz w:val="24"/>
        </w:rPr>
        <w:t> </w:t>
      </w:r>
      <w:r>
        <w:rPr>
          <w:rFonts w:ascii="Times New Roman" w:hAnsi="Times New Roman"/>
          <w:b w:val="false"/>
          <w:i/>
          <w:color w:val="000000"/>
          <w:sz w:val="24"/>
        </w:rPr>
        <w:t xml:space="preserve">Assisted living service. </w:t>
      </w:r>
      <w:r>
        <w:rPr>
          <w:rFonts w:ascii="Times New Roman" w:hAnsi="Times New Roman"/>
          <w:b w:val="false"/>
          <w:i w:val="false"/>
          <w:color w:val="000000"/>
          <w:sz w:val="24"/>
        </w:rPr>
        <w:t>The assisted living service includes unanticipated and unscheduled personal care and supportive services that are furnished to waiver participants who reside in a homelike, noninstitutional setting. The service includes the 24-hour on-site response capability to meet unpredictable member needs as well as member safety and security through incidental supervision. Assisted living service is not reimbursable if performed at the same time as any service included in an approved attendant care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unit of service is one day.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day of assisted living service is billable only if both the following requirements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member was present in the facility during that day’s bed census.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assisted living provider has documented at least one assisted living service encounter for that day, in accordance with rule </w:t>
      </w:r>
      <w:hyperlink r:id="rId281">
        <w:r>
          <w:rPr>
            <w:rStyle w:val="Hyperlink"/>
            <w:rFonts w:ascii="Times New Roman" w:hAnsi="Times New Roman"/>
            <w:b w:val="false"/>
            <w:i w:val="false"/>
            <w:color w:val="000000"/>
            <w:sz w:val="24"/>
          </w:rPr>
          <w:t>441—79.3</w:t>
        </w:r>
      </w:hyperlink>
      <w:r>
        <w:rPr>
          <w:rFonts w:ascii="Times New Roman" w:hAnsi="Times New Roman"/>
          <w:b w:val="false"/>
          <w:i w:val="false"/>
          <w:color w:val="000000"/>
          <w:sz w:val="24"/>
        </w:rPr>
        <w:t>(249A). The documentation must include the member’s response to the service. The documented assisted living service cannot also be an authorized attendant care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78.37(14)</w:t>
      </w:r>
      <w:r>
        <w:rPr>
          <w:rFonts w:ascii="Times New Roman" w:hAnsi="Times New Roman"/>
          <w:b w:val="false"/>
          <w:i w:val="false"/>
          <w:color w:val="000000"/>
          <w:sz w:val="24"/>
        </w:rPr>
        <w:t> </w:t>
      </w:r>
      <w:r>
        <w:rPr>
          <w:rFonts w:ascii="Times New Roman" w:hAnsi="Times New Roman"/>
          <w:b w:val="false"/>
          <w:i/>
          <w:color w:val="000000"/>
          <w:sz w:val="24"/>
        </w:rPr>
        <w:t xml:space="preserve">General service standards. </w:t>
      </w:r>
      <w:r>
        <w:rPr>
          <w:rFonts w:ascii="Times New Roman" w:hAnsi="Times New Roman"/>
          <w:b w:val="false"/>
          <w:i w:val="false"/>
          <w:color w:val="000000"/>
          <w:sz w:val="24"/>
        </w:rPr>
        <w:t>All elderly waiver services must be provided in accordance with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Reimbursement shall not be available under the waiver for any services that the member can obtain as other nonwaiver Medicaid services or through any other funding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services provided under the waiver must be delivered in the least restrictive environment possible and in conformity with the member’s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All rights restrictions must be implemented in accordance with </w:t>
      </w:r>
      <w:hyperlink r:id="rId282">
        <w:r>
          <w:rPr>
            <w:rStyle w:val="Hyperlink"/>
            <w:rFonts w:ascii="Times New Roman" w:hAnsi="Times New Roman"/>
            <w:b w:val="false"/>
            <w:i w:val="false"/>
            <w:color w:val="000000"/>
            <w:sz w:val="24"/>
          </w:rPr>
          <w:t>441—subrule 77.30(4)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Services must be billed in whole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For all services with a 15-minute unit of service, the rounding process detailed in paragraph </w:t>
      </w:r>
      <w:hyperlink r:id="rId283">
        <w:r>
          <w:rPr>
            <w:rStyle w:val="Hyperlink"/>
            <w:rFonts w:ascii="Times New Roman" w:hAnsi="Times New Roman"/>
            <w:b w:val="false"/>
            <w:i w:val="false"/>
            <w:color w:val="000000"/>
            <w:sz w:val="24"/>
          </w:rPr>
          <w:t>78.31(14)</w:t>
        </w:r>
        <w:r>
          <w:rPr>
            <w:rFonts w:ascii="Times New Roman" w:hAnsi="Times New Roman"/>
            <w:b w:val="false"/>
            <w:i/>
            <w:color w:val="000000"/>
            <w:sz w:val="24"/>
          </w:rPr>
          <w:t>“e”</w:t>
        </w:r>
        <w:r>
          <w:rPr>
            <w:rFonts w:ascii="Times New Roman" w:hAnsi="Times New Roman"/>
            <w:b w:val="false"/>
            <w:i w:val="false"/>
            <w:color w:val="000000"/>
            <w:sz w:val="24"/>
          </w:rPr>
          <w:t xml:space="preserve"> will apply.</w:t>
        </w:r>
      </w:hyperlink>
    </w:p>
    <w:p>
      <w:pPr>
        <w:spacing w:before="0" w:after="0" w:line="480"/>
        <w:ind w:left="120"/>
        <w:jc w:val="both"/>
      </w:pPr>
      <w:r>
        <w:rPr>
          <w:rFonts w:ascii="Times New Roman" w:hAnsi="Times New Roman"/>
          <w:b/>
          <w:i w:val="false"/>
          <w:color w:val="000000"/>
          <w:sz w:val="24"/>
        </w:rPr>
        <w:t>441—78.38</w:t>
      </w:r>
      <w:r>
        <w:rPr>
          <w:rFonts w:ascii="Times New Roman" w:hAnsi="Times New Roman"/>
          <w:b/>
          <w:i w:val="false"/>
          <w:color w:val="000000"/>
          <w:sz w:val="24"/>
        </w:rPr>
        <w:t xml:space="preserve">(249A) </w:t>
      </w:r>
      <w:r>
        <w:rPr>
          <w:rFonts w:ascii="Times New Roman" w:hAnsi="Times New Roman"/>
          <w:b/>
          <w:i w:val="false"/>
          <w:color w:val="000000"/>
          <w:sz w:val="24"/>
        </w:rPr>
        <w:t xml:space="preserve">HCBS AIDS/HIV waiver services. </w:t>
      </w:r>
      <w:r>
        <w:rPr>
          <w:rFonts w:ascii="Times New Roman" w:hAnsi="Times New Roman"/>
          <w:b w:val="false"/>
          <w:i w:val="false"/>
          <w:color w:val="000000"/>
          <w:sz w:val="24"/>
        </w:rPr>
        <w:t xml:space="preserve">Payment will be approved for the following services to members eligible for the HCBS AIDS/HIV waiver services as established in </w:t>
      </w:r>
      <w:hyperlink r:id="rId284">
        <w:r>
          <w:rPr>
            <w:rStyle w:val="Hyperlink"/>
            <w:rFonts w:ascii="Times New Roman" w:hAnsi="Times New Roman"/>
            <w:b w:val="false"/>
            <w:i w:val="false"/>
            <w:color w:val="000000"/>
            <w:sz w:val="24"/>
          </w:rPr>
          <w:t>441—Chapter 83</w:t>
        </w:r>
      </w:hyperlink>
      <w:r>
        <w:rPr>
          <w:rFonts w:ascii="Times New Roman" w:hAnsi="Times New Roman"/>
          <w:b w:val="false"/>
          <w:i w:val="false"/>
          <w:color w:val="000000"/>
          <w:sz w:val="24"/>
        </w:rPr>
        <w:t xml:space="preserve"> and as identified in the member’s service plan. Payment shall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78.38(1)</w:t>
      </w:r>
      <w:r>
        <w:rPr>
          <w:rFonts w:ascii="Times New Roman" w:hAnsi="Times New Roman"/>
          <w:b w:val="false"/>
          <w:i w:val="false"/>
          <w:color w:val="000000"/>
          <w:sz w:val="24"/>
        </w:rPr>
        <w:t> </w:t>
      </w:r>
      <w:r>
        <w:rPr>
          <w:rFonts w:ascii="Times New Roman" w:hAnsi="Times New Roman"/>
          <w:b w:val="false"/>
          <w:i/>
          <w:color w:val="000000"/>
          <w:sz w:val="24"/>
        </w:rPr>
        <w:t xml:space="preserve">Counseling services. </w:t>
      </w:r>
      <w:r>
        <w:rPr>
          <w:rFonts w:ascii="Times New Roman" w:hAnsi="Times New Roman"/>
          <w:b w:val="false"/>
          <w:i w:val="false"/>
          <w:color w:val="000000"/>
          <w:sz w:val="24"/>
        </w:rPr>
        <w:t xml:space="preserve">Counseling services are face-to-face mental health services provided to the member and caregiver by a mental health professional as defined in rule </w:t>
      </w:r>
      <w:hyperlink r:id="rId285">
        <w:r>
          <w:rPr>
            <w:rStyle w:val="Hyperlink"/>
            <w:rFonts w:ascii="Times New Roman" w:hAnsi="Times New Roman"/>
            <w:b w:val="false"/>
            <w:i w:val="false"/>
            <w:color w:val="000000"/>
            <w:sz w:val="24"/>
          </w:rPr>
          <w:t>441—24.1</w:t>
        </w:r>
      </w:hyperlink>
      <w:r>
        <w:rPr>
          <w:rFonts w:ascii="Times New Roman" w:hAnsi="Times New Roman"/>
          <w:b w:val="false"/>
          <w:i w:val="false"/>
          <w:color w:val="000000"/>
          <w:sz w:val="24"/>
        </w:rPr>
        <w:t>(225A) to facilitate home management of the member and prevent institutionalization. Counseling services are nonpsychiatric services necessary for the management of depression, assistance with the grief process, alleviation of psychosocial isolation and support in coping with a disability or illness, including terminal illness. Counseling services may be provided both for the purpose of training the member’s family or other caregiver to provide care, and for the purpose of helping the member and those caring for the member to adjust to the member’s disability or terminal condition. Counseling services may be provided to the member’s caregiver only when included in the case plan for the member.</w:t>
      </w:r>
    </w:p>
    <w:p>
      <w:pPr>
        <w:spacing w:before="0" w:after="0" w:line="480"/>
        <w:ind w:left="120"/>
        <w:jc w:val="both"/>
      </w:pPr>
      <w:r>
        <w:rPr>
          <w:rFonts w:ascii="Times New Roman" w:hAnsi="Times New Roman"/>
          <w:b w:val="false"/>
          <w:i w:val="false"/>
          <w:color w:val="000000"/>
          <w:sz w:val="24"/>
        </w:rPr>
        <w:t>Payment will be made for individual and group counseling. A unit of individual counseling for the waiver member or the waiver member and the member’s caregiver is 15 minutes. A unit of group counseling is 15 minutes. Payment for group counseling is based on the group rate divided by six, or, if the number of persons who comprise the group exceeds six, the actual number of persons who comprise the group.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78.38(2)</w:t>
      </w:r>
      <w:r>
        <w:rPr>
          <w:rFonts w:ascii="Times New Roman" w:hAnsi="Times New Roman"/>
          <w:b w:val="false"/>
          <w:i w:val="false"/>
          <w:color w:val="000000"/>
          <w:sz w:val="24"/>
        </w:rPr>
        <w:t> </w:t>
      </w:r>
      <w:r>
        <w:rPr>
          <w:rFonts w:ascii="Times New Roman" w:hAnsi="Times New Roman"/>
          <w:b w:val="false"/>
          <w:i/>
          <w:color w:val="000000"/>
          <w:sz w:val="24"/>
        </w:rPr>
        <w:t xml:space="preserve">Home health aide services. </w:t>
      </w:r>
      <w:r>
        <w:rPr>
          <w:rFonts w:ascii="Times New Roman" w:hAnsi="Times New Roman"/>
          <w:b w:val="false"/>
          <w:i w:val="false"/>
          <w:color w:val="000000"/>
          <w:sz w:val="24"/>
        </w:rPr>
        <w:t xml:space="preserve">Home health aide services are personal or direct care services provided to the client which are not payable under Medicaid as set forth in rule </w:t>
      </w:r>
      <w:hyperlink r:id="rId286">
        <w:r>
          <w:rPr>
            <w:rStyle w:val="Hyperlink"/>
            <w:rFonts w:ascii="Times New Roman" w:hAnsi="Times New Roman"/>
            <w:b w:val="false"/>
            <w:i w:val="false"/>
            <w:color w:val="000000"/>
            <w:sz w:val="24"/>
          </w:rPr>
          <w:t>441—78.9</w:t>
        </w:r>
      </w:hyperlink>
      <w:r>
        <w:rPr>
          <w:rFonts w:ascii="Times New Roman" w:hAnsi="Times New Roman"/>
          <w:b w:val="false"/>
          <w:i w:val="false"/>
          <w:color w:val="000000"/>
          <w:sz w:val="24"/>
        </w:rPr>
        <w:t>(249A). A unit of service is a visit. Components of the service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Observation and reporting of physical or emotional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Helping a client with bath, shampoo, or oral hygiene.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Helping a client with toileting.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Helping a client in and out of bed and with ambulation.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Helping a client reestablish activities of daily living.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Assisting with oral medications ordinarily self-administered and ordered by a physician.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Performing incidental household services which are essential to the client’s health care at home and are necessary to prevent or postpone institutionalization in order to complete a full unit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78.38(3)</w:t>
      </w:r>
      <w:r>
        <w:rPr>
          <w:rFonts w:ascii="Times New Roman" w:hAnsi="Times New Roman"/>
          <w:b w:val="false"/>
          <w:i w:val="false"/>
          <w:color w:val="000000"/>
          <w:sz w:val="24"/>
        </w:rPr>
        <w:t> </w:t>
      </w:r>
      <w:r>
        <w:rPr>
          <w:rFonts w:ascii="Times New Roman" w:hAnsi="Times New Roman"/>
          <w:b w:val="false"/>
          <w:i/>
          <w:color w:val="000000"/>
          <w:sz w:val="24"/>
        </w:rPr>
        <w:t xml:space="preserve">Home maintenance support services. </w:t>
      </w:r>
      <w:r>
        <w:rPr>
          <w:rFonts w:ascii="Times New Roman" w:hAnsi="Times New Roman"/>
          <w:b w:val="false"/>
          <w:i w:val="false"/>
          <w:color w:val="000000"/>
          <w:sz w:val="24"/>
        </w:rPr>
        <w:t xml:space="preserve">Home maintenance support services are service activities provided pursuant to subrule </w:t>
      </w:r>
      <w:hyperlink r:id="rId287">
        <w:r>
          <w:rPr>
            <w:rStyle w:val="Hyperlink"/>
            <w:rFonts w:ascii="Times New Roman" w:hAnsi="Times New Roman"/>
            <w:b w:val="false"/>
            <w:i w:val="false"/>
            <w:color w:val="000000"/>
            <w:sz w:val="24"/>
          </w:rPr>
          <w:t>78.34(1)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78.38(4)</w:t>
      </w:r>
      <w:r>
        <w:rPr>
          <w:rFonts w:ascii="Times New Roman" w:hAnsi="Times New Roman"/>
          <w:b w:val="false"/>
          <w:i w:val="false"/>
          <w:color w:val="000000"/>
          <w:sz w:val="24"/>
        </w:rPr>
        <w:t> </w:t>
      </w:r>
      <w:r>
        <w:rPr>
          <w:rFonts w:ascii="Times New Roman" w:hAnsi="Times New Roman"/>
          <w:b w:val="false"/>
          <w:i/>
          <w:color w:val="000000"/>
          <w:sz w:val="24"/>
        </w:rPr>
        <w:t xml:space="preserve">Nursing care services. </w:t>
      </w:r>
      <w:r>
        <w:rPr>
          <w:rFonts w:ascii="Times New Roman" w:hAnsi="Times New Roman"/>
          <w:b w:val="false"/>
          <w:i w:val="false"/>
          <w:color w:val="000000"/>
          <w:sz w:val="24"/>
        </w:rPr>
        <w:t>Nursing care services are services provided by licensed agency nurses to clients in the home which are ordered by and included in the plan of treatment established by the physician. The services shall be reasonable and necessary to the treatment of an illness or injury and include: observation; evaluation; teaching; training; supervision; therapeutic exercise; bowel and bladder care; administration of medications; intravenous and enteral feedings; skin care; preparation of clinical and progress notes; coordination of services; and informing the physician and other personnel of changes in the patient’s conditions and needs. A unit of service is a visit.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78.38(5)</w:t>
      </w:r>
      <w:r>
        <w:rPr>
          <w:rFonts w:ascii="Times New Roman" w:hAnsi="Times New Roman"/>
          <w:b w:val="false"/>
          <w:i w:val="false"/>
          <w:color w:val="000000"/>
          <w:sz w:val="24"/>
        </w:rPr>
        <w:t> </w:t>
      </w:r>
      <w:r>
        <w:rPr>
          <w:rFonts w:ascii="Times New Roman" w:hAnsi="Times New Roman"/>
          <w:b w:val="false"/>
          <w:i/>
          <w:color w:val="000000"/>
          <w:sz w:val="24"/>
        </w:rPr>
        <w:t xml:space="preserve">Respite care services. </w:t>
      </w:r>
      <w:r>
        <w:rPr>
          <w:rFonts w:ascii="Times New Roman" w:hAnsi="Times New Roman"/>
          <w:b w:val="false"/>
          <w:i w:val="false"/>
          <w:color w:val="000000"/>
          <w:sz w:val="24"/>
        </w:rPr>
        <w:t xml:space="preserve">Respite care services are services provided pursuant to subrule </w:t>
      </w:r>
      <w:hyperlink r:id="rId288">
        <w:r>
          <w:rPr>
            <w:rStyle w:val="Hyperlink"/>
            <w:rFonts w:ascii="Times New Roman" w:hAnsi="Times New Roman"/>
            <w:b w:val="false"/>
            <w:i w:val="false"/>
            <w:color w:val="000000"/>
            <w:sz w:val="24"/>
          </w:rPr>
          <w:t>78.34(5)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78.38(6)</w:t>
      </w:r>
      <w:r>
        <w:rPr>
          <w:rFonts w:ascii="Times New Roman" w:hAnsi="Times New Roman"/>
          <w:b w:val="false"/>
          <w:i w:val="false"/>
          <w:color w:val="000000"/>
          <w:sz w:val="24"/>
        </w:rPr>
        <w:t> </w:t>
      </w:r>
      <w:r>
        <w:rPr>
          <w:rFonts w:ascii="Times New Roman" w:hAnsi="Times New Roman"/>
          <w:b w:val="false"/>
          <w:i/>
          <w:color w:val="000000"/>
          <w:sz w:val="24"/>
        </w:rPr>
        <w:t xml:space="preserve">Home-delivered meals. </w:t>
      </w:r>
      <w:r>
        <w:rPr>
          <w:rFonts w:ascii="Times New Roman" w:hAnsi="Times New Roman"/>
          <w:b w:val="false"/>
          <w:i w:val="false"/>
          <w:color w:val="000000"/>
          <w:sz w:val="24"/>
        </w:rPr>
        <w:t xml:space="preserve">Home-delivered meals are meals provided pursuant to subrule </w:t>
      </w:r>
      <w:hyperlink r:id="rId289">
        <w:r>
          <w:rPr>
            <w:rStyle w:val="Hyperlink"/>
            <w:rFonts w:ascii="Times New Roman" w:hAnsi="Times New Roman"/>
            <w:b w:val="false"/>
            <w:i w:val="false"/>
            <w:color w:val="000000"/>
            <w:sz w:val="24"/>
          </w:rPr>
          <w:t>78.34(11)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78.38(7)</w:t>
      </w:r>
      <w:r>
        <w:rPr>
          <w:rFonts w:ascii="Times New Roman" w:hAnsi="Times New Roman"/>
          <w:b w:val="false"/>
          <w:i w:val="false"/>
          <w:color w:val="000000"/>
          <w:sz w:val="24"/>
        </w:rPr>
        <w:t> </w:t>
      </w:r>
      <w:r>
        <w:rPr>
          <w:rFonts w:ascii="Times New Roman" w:hAnsi="Times New Roman"/>
          <w:b w:val="false"/>
          <w:i/>
          <w:color w:val="000000"/>
          <w:sz w:val="24"/>
        </w:rPr>
        <w:t xml:space="preserve">Adult day care services. </w:t>
      </w:r>
      <w:r>
        <w:rPr>
          <w:rFonts w:ascii="Times New Roman" w:hAnsi="Times New Roman"/>
          <w:b w:val="false"/>
          <w:i w:val="false"/>
          <w:color w:val="000000"/>
          <w:sz w:val="24"/>
        </w:rPr>
        <w:t xml:space="preserve">Adult day care services are activities provided pursuant to subrule </w:t>
      </w:r>
      <w:hyperlink r:id="rId290">
        <w:r>
          <w:rPr>
            <w:rStyle w:val="Hyperlink"/>
            <w:rFonts w:ascii="Times New Roman" w:hAnsi="Times New Roman"/>
            <w:b w:val="false"/>
            <w:i w:val="false"/>
            <w:color w:val="000000"/>
            <w:sz w:val="24"/>
          </w:rPr>
          <w:t>78.34(3)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78.38(8)</w:t>
      </w:r>
      <w:r>
        <w:rPr>
          <w:rFonts w:ascii="Times New Roman" w:hAnsi="Times New Roman"/>
          <w:b w:val="false"/>
          <w:i w:val="false"/>
          <w:color w:val="000000"/>
          <w:sz w:val="24"/>
        </w:rPr>
        <w:t> </w:t>
      </w:r>
      <w:r>
        <w:rPr>
          <w:rFonts w:ascii="Times New Roman" w:hAnsi="Times New Roman"/>
          <w:b w:val="false"/>
          <w:i/>
          <w:color w:val="000000"/>
          <w:sz w:val="24"/>
        </w:rPr>
        <w:t xml:space="preserve">Attendant care service. </w:t>
      </w:r>
      <w:r>
        <w:rPr>
          <w:rFonts w:ascii="Times New Roman" w:hAnsi="Times New Roman"/>
          <w:b w:val="false"/>
          <w:i w:val="false"/>
          <w:color w:val="000000"/>
          <w:sz w:val="24"/>
        </w:rPr>
        <w:t xml:space="preserve">Attendant care services are service activities performed pursuant to subrule </w:t>
      </w:r>
      <w:hyperlink r:id="rId291">
        <w:r>
          <w:rPr>
            <w:rStyle w:val="Hyperlink"/>
            <w:rFonts w:ascii="Times New Roman" w:hAnsi="Times New Roman"/>
            <w:b w:val="false"/>
            <w:i w:val="false"/>
            <w:color w:val="000000"/>
            <w:sz w:val="24"/>
          </w:rPr>
          <w:t>78.34(7)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78.38(9)</w:t>
      </w:r>
      <w:r>
        <w:rPr>
          <w:rFonts w:ascii="Times New Roman" w:hAnsi="Times New Roman"/>
          <w:b w:val="false"/>
          <w:i w:val="false"/>
          <w:color w:val="000000"/>
          <w:sz w:val="24"/>
        </w:rPr>
        <w:t> </w:t>
      </w:r>
      <w:r>
        <w:rPr>
          <w:rFonts w:ascii="Times New Roman" w:hAnsi="Times New Roman"/>
          <w:b w:val="false"/>
          <w:i/>
          <w:color w:val="000000"/>
          <w:sz w:val="24"/>
        </w:rPr>
        <w:t xml:space="preserve">CCO. </w:t>
      </w:r>
      <w:r>
        <w:rPr>
          <w:rFonts w:ascii="Times New Roman" w:hAnsi="Times New Roman"/>
          <w:b w:val="false"/>
          <w:i w:val="false"/>
          <w:color w:val="000000"/>
          <w:sz w:val="24"/>
        </w:rPr>
        <w:t xml:space="preserve">The CCO are service activities provided pursuant to subrule </w:t>
      </w:r>
      <w:hyperlink r:id="rId292">
        <w:r>
          <w:rPr>
            <w:rStyle w:val="Hyperlink"/>
            <w:rFonts w:ascii="Times New Roman" w:hAnsi="Times New Roman"/>
            <w:b w:val="false"/>
            <w:i w:val="false"/>
            <w:color w:val="000000"/>
            <w:sz w:val="24"/>
          </w:rPr>
          <w:t>78.34(13)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78.38(10)</w:t>
      </w:r>
      <w:r>
        <w:rPr>
          <w:rFonts w:ascii="Times New Roman" w:hAnsi="Times New Roman"/>
          <w:b w:val="false"/>
          <w:i w:val="false"/>
          <w:color w:val="000000"/>
          <w:sz w:val="24"/>
        </w:rPr>
        <w:t> </w:t>
      </w:r>
      <w:r>
        <w:rPr>
          <w:rFonts w:ascii="Times New Roman" w:hAnsi="Times New Roman"/>
          <w:b w:val="false"/>
          <w:i/>
          <w:color w:val="000000"/>
          <w:sz w:val="24"/>
        </w:rPr>
        <w:t xml:space="preserve">General service standards. </w:t>
      </w:r>
      <w:r>
        <w:rPr>
          <w:rFonts w:ascii="Times New Roman" w:hAnsi="Times New Roman"/>
          <w:b w:val="false"/>
          <w:i w:val="false"/>
          <w:color w:val="000000"/>
          <w:sz w:val="24"/>
        </w:rPr>
        <w:t>All AIDS/HIV waiver services must be provided in accordance with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Reimbursement will not be available under the waiver for any services that the member can obtain as other nonwaiver Medicaid services or through any other funding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services provided under the waiver must be delivered in the least restrictive environment possible and in conformity with the member’s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All rights restrictions must be implemented in accordance with </w:t>
      </w:r>
      <w:hyperlink r:id="rId293">
        <w:r>
          <w:rPr>
            <w:rStyle w:val="Hyperlink"/>
            <w:rFonts w:ascii="Times New Roman" w:hAnsi="Times New Roman"/>
            <w:b w:val="false"/>
            <w:i w:val="false"/>
            <w:color w:val="000000"/>
            <w:sz w:val="24"/>
          </w:rPr>
          <w:t>441—subrule 77.30(4)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Services must be billed in whole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For all services with a 15-minute unit of service, the rounding process outlined in paragraph </w:t>
      </w:r>
      <w:hyperlink r:id="rId294">
        <w:r>
          <w:rPr>
            <w:rStyle w:val="Hyperlink"/>
            <w:rFonts w:ascii="Times New Roman" w:hAnsi="Times New Roman"/>
            <w:b w:val="false"/>
            <w:i w:val="false"/>
            <w:color w:val="000000"/>
            <w:sz w:val="24"/>
          </w:rPr>
          <w:t>78.34(14)</w:t>
        </w:r>
      </w:hyperlink>
      <w:r>
        <w:rPr>
          <w:rFonts w:ascii="Times New Roman" w:hAnsi="Times New Roman"/>
          <w:b w:val="false"/>
          <w:i/>
          <w:color w:val="000000"/>
          <w:sz w:val="24"/>
        </w:rPr>
        <w:t>“e”</w:t>
      </w:r>
      <w:r>
        <w:rPr>
          <w:rFonts w:ascii="Times New Roman" w:hAnsi="Times New Roman"/>
          <w:b w:val="false"/>
          <w:i w:val="false"/>
          <w:color w:val="000000"/>
          <w:sz w:val="24"/>
        </w:rPr>
        <w:t xml:space="preserve"> will apply.</w:t>
      </w:r>
    </w:p>
    <w:p>
      <w:pPr>
        <w:spacing w:before="0" w:after="0" w:line="480"/>
        <w:ind w:left="120"/>
        <w:jc w:val="both"/>
      </w:pPr>
      <w:r>
        <w:rPr>
          <w:rFonts w:ascii="Times New Roman" w:hAnsi="Times New Roman"/>
          <w:b/>
          <w:i w:val="false"/>
          <w:color w:val="000000"/>
          <w:sz w:val="24"/>
        </w:rPr>
        <w:t>441—78.39</w:t>
      </w:r>
      <w:r>
        <w:rPr>
          <w:rFonts w:ascii="Times New Roman" w:hAnsi="Times New Roman"/>
          <w:b/>
          <w:i w:val="false"/>
          <w:color w:val="000000"/>
          <w:sz w:val="24"/>
        </w:rPr>
        <w:t xml:space="preserve">(249A) </w:t>
      </w:r>
      <w:r>
        <w:rPr>
          <w:rFonts w:ascii="Times New Roman" w:hAnsi="Times New Roman"/>
          <w:b/>
          <w:i w:val="false"/>
          <w:color w:val="000000"/>
          <w:sz w:val="24"/>
        </w:rPr>
        <w:t xml:space="preserve">Federally qualified health centers. </w:t>
      </w:r>
      <w:r>
        <w:rPr>
          <w:rFonts w:ascii="Times New Roman" w:hAnsi="Times New Roman"/>
          <w:b w:val="false"/>
          <w:i w:val="false"/>
          <w:color w:val="000000"/>
          <w:sz w:val="24"/>
        </w:rPr>
        <w:t xml:space="preserve">Payment will be made for services as defined in </w:t>
      </w:r>
      <w:r>
        <w:rPr>
          <w:rFonts w:ascii="Times New Roman" w:hAnsi="Times New Roman"/>
          <w:b w:val="false"/>
          <w:i w:val="false"/>
          <w:color w:val="000000"/>
          <w:sz w:val="24"/>
        </w:rPr>
        <w:t>Section 1905(a)(2)(C) of the Social Security Act</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78.39(1)</w:t>
      </w:r>
      <w:r>
        <w:rPr>
          <w:rFonts w:ascii="Times New Roman" w:hAnsi="Times New Roman"/>
          <w:b w:val="false"/>
          <w:i w:val="false"/>
          <w:color w:val="000000"/>
          <w:sz w:val="24"/>
        </w:rPr>
        <w:t> </w:t>
      </w:r>
      <w:r>
        <w:rPr>
          <w:rFonts w:ascii="Times New Roman" w:hAnsi="Times New Roman"/>
          <w:b w:val="false"/>
          <w:i/>
          <w:color w:val="000000"/>
          <w:sz w:val="24"/>
        </w:rPr>
        <w:t xml:space="preserve">Utilization review. </w:t>
      </w:r>
      <w:r>
        <w:rPr>
          <w:rFonts w:ascii="Times New Roman" w:hAnsi="Times New Roman"/>
          <w:b w:val="false"/>
          <w:i w:val="false"/>
          <w:color w:val="000000"/>
          <w:sz w:val="24"/>
        </w:rPr>
        <w:t>Utilization review will be conducted for Medicaid members who access more than 24 outpatient visits in any 12-month period from physicians, ARNPs, federally qualified health centers, other clinics, and emergency rooms.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78.39(2)</w:t>
      </w:r>
      <w:r>
        <w:rPr>
          <w:rFonts w:ascii="Times New Roman" w:hAnsi="Times New Roman"/>
          <w:b w:val="false"/>
          <w:i w:val="false"/>
          <w:color w:val="000000"/>
          <w:sz w:val="24"/>
        </w:rPr>
        <w:t> </w:t>
      </w:r>
      <w:r>
        <w:rPr>
          <w:rFonts w:ascii="Times New Roman" w:hAnsi="Times New Roman"/>
          <w:b w:val="false"/>
          <w:i/>
          <w:color w:val="000000"/>
          <w:sz w:val="24"/>
        </w:rPr>
        <w:t xml:space="preserve">Risk assessment. </w:t>
      </w:r>
      <w:r>
        <w:rPr>
          <w:rFonts w:ascii="Times New Roman" w:hAnsi="Times New Roman"/>
          <w:b w:val="false"/>
          <w:i w:val="false"/>
          <w:color w:val="000000"/>
          <w:sz w:val="24"/>
        </w:rPr>
        <w:t>Risk assessment, using a Medicaid Prenatal Risk Assessment form, shall be completed at the initial visit during a Medicaid member’s pregnancy.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the risk assessment reflects a low-risk pregnancy, the assessment shall be completed again at approximately the twenty-eighth week of pregnancy.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risk assessment reflects a high-risk pregnancy, referral shall be made for enhanced services described in subrule </w:t>
      </w:r>
      <w:hyperlink r:id="rId295">
        <w:r>
          <w:rPr>
            <w:rStyle w:val="Hyperlink"/>
            <w:rFonts w:ascii="Times New Roman" w:hAnsi="Times New Roman"/>
            <w:b w:val="false"/>
            <w:i w:val="false"/>
            <w:color w:val="000000"/>
            <w:sz w:val="24"/>
          </w:rPr>
          <w:t>78.25(3)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78.39(3)</w:t>
      </w:r>
      <w:r>
        <w:rPr>
          <w:rFonts w:ascii="Times New Roman" w:hAnsi="Times New Roman"/>
          <w:b w:val="false"/>
          <w:i w:val="false"/>
          <w:color w:val="000000"/>
          <w:sz w:val="24"/>
        </w:rPr>
        <w:t> </w:t>
      </w:r>
      <w:r>
        <w:rPr>
          <w:rFonts w:ascii="Times New Roman" w:hAnsi="Times New Roman"/>
          <w:b w:val="false"/>
          <w:i/>
          <w:color w:val="000000"/>
          <w:sz w:val="24"/>
        </w:rPr>
        <w:t xml:space="preserve">Vaccines. </w:t>
      </w:r>
      <w:r>
        <w:rPr>
          <w:rFonts w:ascii="Times New Roman" w:hAnsi="Times New Roman"/>
          <w:b w:val="false"/>
          <w:i w:val="false"/>
          <w:color w:val="000000"/>
          <w:sz w:val="24"/>
        </w:rPr>
        <w:t>In order to be paid for the administration of a vaccine covered under the VFC program, a federally qualified health center must enroll in the VFC program. Payment for the vaccine will be approved only if the VFC program stock has been depleted.</w:t>
      </w:r>
    </w:p>
    <w:p>
      <w:pPr>
        <w:spacing w:before="0" w:after="0" w:line="480"/>
        <w:ind w:left="120"/>
        <w:jc w:val="both"/>
      </w:pPr>
      <w:r>
        <w:rPr>
          <w:rFonts w:ascii="Times New Roman" w:hAnsi="Times New Roman"/>
          <w:b/>
          <w:i w:val="false"/>
          <w:color w:val="000000"/>
          <w:sz w:val="24"/>
        </w:rPr>
        <w:t>441—78.40</w:t>
      </w:r>
      <w:r>
        <w:rPr>
          <w:rFonts w:ascii="Times New Roman" w:hAnsi="Times New Roman"/>
          <w:b/>
          <w:i w:val="false"/>
          <w:color w:val="000000"/>
          <w:sz w:val="24"/>
        </w:rPr>
        <w:t xml:space="preserve">(249A) </w:t>
      </w:r>
      <w:r>
        <w:rPr>
          <w:rFonts w:ascii="Times New Roman" w:hAnsi="Times New Roman"/>
          <w:b/>
          <w:i w:val="false"/>
          <w:color w:val="000000"/>
          <w:sz w:val="24"/>
        </w:rPr>
        <w:t xml:space="preserve">ARNPs. </w:t>
      </w:r>
      <w:r>
        <w:rPr>
          <w:rFonts w:ascii="Times New Roman" w:hAnsi="Times New Roman"/>
          <w:b w:val="false"/>
          <w:i w:val="false"/>
          <w:color w:val="000000"/>
          <w:sz w:val="24"/>
        </w:rPr>
        <w:t xml:space="preserve">Payment will be approved for services provided by ARNPs within their scope of practice and the limitations of state law, with the exception of services not payable to physicians under rule </w:t>
      </w:r>
      <w:hyperlink r:id="rId296">
        <w:r>
          <w:rPr>
            <w:rStyle w:val="Hyperlink"/>
            <w:rFonts w:ascii="Times New Roman" w:hAnsi="Times New Roman"/>
            <w:b w:val="false"/>
            <w:i w:val="false"/>
            <w:color w:val="000000"/>
            <w:sz w:val="24"/>
          </w:rPr>
          <w:t>441—78.1</w:t>
        </w:r>
      </w:hyperlink>
      <w:r>
        <w:rPr>
          <w:rFonts w:ascii="Times New Roman" w:hAnsi="Times New Roman"/>
          <w:b w:val="false"/>
          <w:i w:val="false"/>
          <w:color w:val="000000"/>
          <w:sz w:val="24"/>
        </w:rPr>
        <w:t>(249A) or otherwise not payable under any other applicable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78.40(1)</w:t>
      </w:r>
      <w:r>
        <w:rPr>
          <w:rFonts w:ascii="Times New Roman" w:hAnsi="Times New Roman"/>
          <w:b w:val="false"/>
          <w:i w:val="false"/>
          <w:color w:val="000000"/>
          <w:sz w:val="24"/>
        </w:rPr>
        <w:t> </w:t>
      </w:r>
      <w:r>
        <w:rPr>
          <w:rFonts w:ascii="Times New Roman" w:hAnsi="Times New Roman"/>
          <w:b w:val="false"/>
          <w:i/>
          <w:color w:val="000000"/>
          <w:sz w:val="24"/>
        </w:rPr>
        <w:t xml:space="preserve">Direct payment. </w:t>
      </w:r>
      <w:r>
        <w:rPr>
          <w:rFonts w:ascii="Times New Roman" w:hAnsi="Times New Roman"/>
          <w:b w:val="false"/>
          <w:i w:val="false"/>
          <w:color w:val="000000"/>
          <w:sz w:val="24"/>
        </w:rPr>
        <w:t>Payment will be made to ARNPs directly, without regard to whether the ARNP is employed by or associated with a physician, hospital, birth center, clinic, or other health care provider recognized under state law. An established protocol between a physician and the ARNP will not cause an ARNP to be considered auxiliary personnel of a physician, or an employee of a hospital, birth center, or clinic.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78.40(2)</w:t>
      </w:r>
      <w:r>
        <w:rPr>
          <w:rFonts w:ascii="Times New Roman" w:hAnsi="Times New Roman"/>
          <w:b w:val="false"/>
          <w:i w:val="false"/>
          <w:color w:val="000000"/>
          <w:sz w:val="24"/>
        </w:rPr>
        <w:t> </w:t>
      </w:r>
      <w:r>
        <w:rPr>
          <w:rFonts w:ascii="Times New Roman" w:hAnsi="Times New Roman"/>
          <w:b w:val="false"/>
          <w:i/>
          <w:color w:val="000000"/>
          <w:sz w:val="24"/>
        </w:rPr>
        <w:t xml:space="preserve">Location of service. </w:t>
      </w:r>
      <w:r>
        <w:rPr>
          <w:rFonts w:ascii="Times New Roman" w:hAnsi="Times New Roman"/>
          <w:b w:val="false"/>
          <w:i w:val="false"/>
          <w:color w:val="000000"/>
          <w:sz w:val="24"/>
        </w:rPr>
        <w:t>Payment will be approved for services rendered in any location in which the ARNP is legally authorized to provide services under state law. The nurse practitioner shall have promptly available the necessary equipment and personnel to handle emergencies.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78.40(3)</w:t>
      </w:r>
      <w:r>
        <w:rPr>
          <w:rFonts w:ascii="Times New Roman" w:hAnsi="Times New Roman"/>
          <w:b w:val="false"/>
          <w:i w:val="false"/>
          <w:color w:val="000000"/>
          <w:sz w:val="24"/>
        </w:rPr>
        <w:t> </w:t>
      </w:r>
      <w:r>
        <w:rPr>
          <w:rFonts w:ascii="Times New Roman" w:hAnsi="Times New Roman"/>
          <w:b w:val="false"/>
          <w:i/>
          <w:color w:val="000000"/>
          <w:sz w:val="24"/>
        </w:rPr>
        <w:t xml:space="preserve">Utilization review. </w:t>
      </w:r>
      <w:r>
        <w:rPr>
          <w:rFonts w:ascii="Times New Roman" w:hAnsi="Times New Roman"/>
          <w:b w:val="false"/>
          <w:i w:val="false"/>
          <w:color w:val="000000"/>
          <w:sz w:val="24"/>
        </w:rPr>
        <w:t>Utilization review will be conducted for Medicaid members who access more than 24 outpatient visits in any 12-month period from physicians, ARNPs, other clinics, and emergency rooms.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78.40(4)</w:t>
      </w:r>
      <w:r>
        <w:rPr>
          <w:rFonts w:ascii="Times New Roman" w:hAnsi="Times New Roman"/>
          <w:b w:val="false"/>
          <w:i w:val="false"/>
          <w:color w:val="000000"/>
          <w:sz w:val="24"/>
        </w:rPr>
        <w:t> </w:t>
      </w:r>
      <w:r>
        <w:rPr>
          <w:rFonts w:ascii="Times New Roman" w:hAnsi="Times New Roman"/>
          <w:b w:val="false"/>
          <w:i/>
          <w:color w:val="000000"/>
          <w:sz w:val="24"/>
        </w:rPr>
        <w:t xml:space="preserve">Vaccines. </w:t>
      </w:r>
      <w:r>
        <w:rPr>
          <w:rFonts w:ascii="Times New Roman" w:hAnsi="Times New Roman"/>
          <w:b w:val="false"/>
          <w:i w:val="false"/>
          <w:color w:val="000000"/>
          <w:sz w:val="24"/>
        </w:rPr>
        <w:t>In order to be paid for the administration of a vaccine covered under the VFC program, an ARNP must enroll in the VFC program. Payment for the vaccine will be approved only if the VFC program stock has been depleted.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78.40(5)</w:t>
      </w:r>
      <w:r>
        <w:rPr>
          <w:rFonts w:ascii="Times New Roman" w:hAnsi="Times New Roman"/>
          <w:b w:val="false"/>
          <w:i w:val="false"/>
          <w:color w:val="000000"/>
          <w:sz w:val="24"/>
        </w:rPr>
        <w:t> </w:t>
      </w:r>
      <w:r>
        <w:rPr>
          <w:rFonts w:ascii="Times New Roman" w:hAnsi="Times New Roman"/>
          <w:b w:val="false"/>
          <w:i/>
          <w:color w:val="000000"/>
          <w:sz w:val="24"/>
        </w:rPr>
        <w:t xml:space="preserve">Prenatal risk assessment. </w:t>
      </w:r>
      <w:r>
        <w:rPr>
          <w:rFonts w:ascii="Times New Roman" w:hAnsi="Times New Roman"/>
          <w:b w:val="false"/>
          <w:i w:val="false"/>
          <w:color w:val="000000"/>
          <w:sz w:val="24"/>
        </w:rPr>
        <w:t>Risk assessment, using a Medicaid Prenatal Risk Assessment, shall be completed at the initial visit during a Medicaid member’s pregnancy.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the risk assessment reflects a low-risk pregnancy, the assessment shall be completed again at approximately the twenty-eighth week of pregnancy.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risk assessment reflects a high-risk pregnancy, referral shall be made for enhanced services described in subrule </w:t>
      </w:r>
      <w:hyperlink r:id="rId297">
        <w:r>
          <w:rPr>
            <w:rStyle w:val="Hyperlink"/>
            <w:rFonts w:ascii="Times New Roman" w:hAnsi="Times New Roman"/>
            <w:b w:val="false"/>
            <w:i w:val="false"/>
            <w:color w:val="000000"/>
            <w:sz w:val="24"/>
          </w:rPr>
          <w:t>78.25(3)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441—78.41</w:t>
      </w:r>
      <w:r>
        <w:rPr>
          <w:rFonts w:ascii="Times New Roman" w:hAnsi="Times New Roman"/>
          <w:b/>
          <w:i w:val="false"/>
          <w:color w:val="000000"/>
          <w:sz w:val="24"/>
        </w:rPr>
        <w:t xml:space="preserve">(249A) </w:t>
      </w:r>
      <w:r>
        <w:rPr>
          <w:rFonts w:ascii="Times New Roman" w:hAnsi="Times New Roman"/>
          <w:b/>
          <w:i w:val="false"/>
          <w:color w:val="000000"/>
          <w:sz w:val="24"/>
        </w:rPr>
        <w:t xml:space="preserve">HCBS intellectual disability waiver services. </w:t>
      </w:r>
      <w:r>
        <w:rPr>
          <w:rFonts w:ascii="Times New Roman" w:hAnsi="Times New Roman"/>
          <w:b w:val="false"/>
          <w:i w:val="false"/>
          <w:color w:val="000000"/>
          <w:sz w:val="24"/>
        </w:rPr>
        <w:t xml:space="preserve">Payment will be approved for the following services to members eligible for the HCBS intellectual disability waiver as established in </w:t>
      </w:r>
      <w:hyperlink r:id="rId298">
        <w:r>
          <w:rPr>
            <w:rStyle w:val="Hyperlink"/>
            <w:rFonts w:ascii="Times New Roman" w:hAnsi="Times New Roman"/>
            <w:b w:val="false"/>
            <w:i w:val="false"/>
            <w:color w:val="000000"/>
            <w:sz w:val="24"/>
          </w:rPr>
          <w:t>441—Chapter 83</w:t>
        </w:r>
      </w:hyperlink>
      <w:r>
        <w:rPr>
          <w:rFonts w:ascii="Times New Roman" w:hAnsi="Times New Roman"/>
          <w:b w:val="false"/>
          <w:i w:val="false"/>
          <w:color w:val="000000"/>
          <w:sz w:val="24"/>
        </w:rPr>
        <w:t xml:space="preserve"> and as identified in the member’s service plan. Payment will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78.41(1)</w:t>
      </w:r>
      <w:r>
        <w:rPr>
          <w:rFonts w:ascii="Times New Roman" w:hAnsi="Times New Roman"/>
          <w:b w:val="false"/>
          <w:i w:val="false"/>
          <w:color w:val="000000"/>
          <w:sz w:val="24"/>
        </w:rPr>
        <w:t> </w:t>
      </w:r>
      <w:r>
        <w:rPr>
          <w:rFonts w:ascii="Times New Roman" w:hAnsi="Times New Roman"/>
          <w:b w:val="false"/>
          <w:i/>
          <w:color w:val="000000"/>
          <w:sz w:val="24"/>
        </w:rPr>
        <w:t xml:space="preserve">Supported community living services. </w:t>
      </w:r>
      <w:r>
        <w:rPr>
          <w:rFonts w:ascii="Times New Roman" w:hAnsi="Times New Roman"/>
          <w:b w:val="false"/>
          <w:i w:val="false"/>
          <w:color w:val="000000"/>
          <w:sz w:val="24"/>
        </w:rPr>
        <w:t>Supported community living services are provided by the provider within the member’s home and community, according to the individualized member need as identified in the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Available components of the service are personal care services, home skills training services, individual advocacy services, community skills training services, personal environment support services, transportation, and treatment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Personal and home skills training services are activities that assist a member to develop or maintain skills for self-care, self-directedness, and care of the immediate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Individual advocacy is the act or process of representing the member’s rights and interests in order to realize the rights to which the member is entitled and to remove barriers to meeting the member’s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Community skills training services are activities that assist a member to develop or maintain skills allowing better participation in the community. Services shall focus on the following areas as they apply to the member being 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Personal management skills training services are activities that assist a member to maintain or develop skills necessary to sustain the member in the physical environment and are essential to the management of the member’s personal business and property. This includes self-advocacy skills. Examples of personal management skills are the ability to maintain a household budget, plan and prepare nutritional meals, use community resources such as public transportation and libraries, and select foods at the grocery store.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Socialization skills training services are activities that assist a member to develop or maintain skills which include self-awareness and self-control, social responsiveness, community participation, social amenities, and interpersonal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Communication skills training services are activities that assist a member to develop or maintain skills including expressive and receptive skills in verbal and nonverbal language and the functional application of acquired reading and writing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Personal and environmental support services are activities and expenditures provided to or on behalf of a member in the areas of personal needs in order to allow the member to function in the least restrictive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Transportation services are activities and expenditures designed to assist the member to travel from one place to another to obtain services or carry out life’s activities. The services exclude transportation provided as nonemergency medical transportation pursuant to rule </w:t>
      </w:r>
      <w:hyperlink r:id="rId299">
        <w:r>
          <w:rPr>
            <w:rStyle w:val="Hyperlink"/>
            <w:rFonts w:ascii="Times New Roman" w:hAnsi="Times New Roman"/>
            <w:b w:val="false"/>
            <w:i w:val="false"/>
            <w:color w:val="000000"/>
            <w:sz w:val="24"/>
          </w:rPr>
          <w:t>441—78.13</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Treatment services are activities designed to assist the member to maintain or improve physiological, emotional and behavioral functioning and to prevent conditions that would present barriers to the member’s functioning. Treatment services include physical or physiological treatment and psychotherapeutic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Physiological treatment includes medication regimens designed to prevent, halt, control, relieve, or reverse symptoms or conditions that interfere with the normal functioning of the human body. Physiological treatment shall be provided by or under the direct supervision of a certified or licensed health care professional.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Psychotherapeutic treatment means activities provided to assist a member in the identification or modification of beliefs, emotions, attitudes, or behaviors in order to maintain or improve the member’s functioning in response to the physical, emotional, and social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supported community living services are intended to provide for the daily living needs of the member and shall be available as needed during any 24-hour period. Activities do not include those associated with vocational services, academics, day care, medical services, Medicaid case management or other case management. Services are individualized supportive services provided in a variety of community-based, integrated settings.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Supported community living services shall be available at a daily rate to members for whom a provider has primary responsibility for supervision or structure during the month. This service will provide supervision or structure in identified periods when another resource is not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Supported community living services shall be available at a 15-minute rate to members for whom a daily rate is not established.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Intensive residential services are supported community living services provided 24 hours per day to members with a serious and persistent mental illness diagnosis residing in a designated intensive residential service home.  To be eligible for supported community living intensive residential services, the member must meet the eligibility criteria in paragraph </w:t>
      </w:r>
      <w:hyperlink r:id="rId300">
        <w:r>
          <w:rPr>
            <w:rStyle w:val="Hyperlink"/>
            <w:rFonts w:ascii="Times New Roman" w:hAnsi="Times New Roman"/>
            <w:b w:val="false"/>
            <w:i w:val="false"/>
            <w:color w:val="000000"/>
            <w:sz w:val="24"/>
          </w:rPr>
          <w:t>78.27(7)</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Supported community living services delivered through the remote supports modality must meet the requirements pursuant to the HCBS Waiver Provider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Supported community living services delivered in a host home by a subcontractor of the supported community living services agency must meet the requirements pursuant to HCBS Waiver Provider Manual as amended to July 1, 2026.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Services may be provided to a child or an adult. A maximum of four persons may reside in a living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member may live within the home of the member’s family or legal representative or in another typical community living arrangement.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member living with the member’s family or legal representative is not subject to the maximum of four residents in a living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member may not live in a licensed medical or health care facility or in a setting that is required to be licensed as a medical or health care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member aged 17 or under living in the home of the member’s family, legal representative, or foster family shall receive services based on development of adaptive, behavior, or health skills. Duration of services shall be based on age-appropriateness and individual attention span.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Additional criteria for receiving supported community living services for transition-age youth 16 to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Members residing in the family home may receive supported community living services as needed, subject to the criteria set forth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Members residing outside of the family home may receive daily supported community living in a provider-owned or controlled setting when the following criteria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proposed living environment must meet HCBS setting requirements in accordance with </w:t>
      </w:r>
      <w:hyperlink r:id="rId301">
        <w:r>
          <w:rPr>
            <w:rStyle w:val="Hyperlink"/>
            <w:rFonts w:ascii="Times New Roman" w:hAnsi="Times New Roman"/>
            <w:b w:val="false"/>
            <w:i w:val="false"/>
            <w:color w:val="000000"/>
            <w:sz w:val="24"/>
          </w:rPr>
          <w:t>441—subrule 77.30(5)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All providers of the service setting being requested must meet the following additional safety and service requirements for serving youth under the age of 18:</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Members 16 to 18 years of age shall receive 24-hour site supervision and support.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Members under the age of 18 may not reside in settings with individuals over the age of 21.</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comprehensive service plan shall specifically identify educational services and supports for individuals who have not obtained a high school diploma or equivalent.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For individuals who have obtained a high school diploma or equivalent, the comprehensive service plan shall include supported employment, additional training, or educational supports.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member’s parent or guardian has consented to supported community living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member is able to pay room and board costs (funding sources may include but are not limited to supplemental security income, child support, adoptions subsidy, or private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Youth under the age of 16 needing supported community living outside the family home must receive services in a licensed or certified residential-based supported community living setting.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Maintenance and room and board costs are not reimbursable.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Provider budgets shall reflect costs associated with members’ specific support needs as determined necessary by the interdisciplinary team for each member. The specific support needs must be identified in the Medicaid case manager’s service plan, and the provider must maintain records to support the expenditures.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A unit of service 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One full calendar day when a member receives on-site staff supervision for eight or more hours per day as an average over a calendar month and the member’s service plan identifies and reflects the need for this amount of supervision.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Fifteen minutes when subparagraph </w:t>
      </w:r>
      <w:hyperlink r:id="rId302">
        <w:r>
          <w:rPr>
            <w:rStyle w:val="Hyperlink"/>
            <w:rFonts w:ascii="Times New Roman" w:hAnsi="Times New Roman"/>
            <w:b w:val="false"/>
            <w:i w:val="false"/>
            <w:color w:val="000000"/>
            <w:sz w:val="24"/>
          </w:rPr>
          <w:t>78.41(1)</w:t>
        </w:r>
      </w:hyperlink>
      <w:r>
        <w:rPr>
          <w:rFonts w:ascii="Times New Roman" w:hAnsi="Times New Roman"/>
          <w:b w:val="false"/>
          <w:i/>
          <w:color w:val="000000"/>
          <w:sz w:val="24"/>
        </w:rPr>
        <w:t>“g”</w:t>
      </w:r>
      <w:r>
        <w:rPr>
          <w:rFonts w:ascii="Times New Roman" w:hAnsi="Times New Roman"/>
          <w:b w:val="false"/>
          <w:i w:val="false"/>
          <w:color w:val="000000"/>
          <w:sz w:val="24"/>
        </w:rPr>
        <w:t>(1) does not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The maximum number of units available per member per year are listed on the Iowa Medicaid fee schedule webpage.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The service shall be identified in the member’s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Supported community living services will not be simultaneously reimbursed with other residential services or with respite, nursing, or home health aide services provided through Medicaid or the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78.41(2)</w:t>
      </w:r>
      <w:r>
        <w:rPr>
          <w:rFonts w:ascii="Times New Roman" w:hAnsi="Times New Roman"/>
          <w:b w:val="false"/>
          <w:i w:val="false"/>
          <w:color w:val="000000"/>
          <w:sz w:val="24"/>
        </w:rPr>
        <w:t> </w:t>
      </w:r>
      <w:r>
        <w:rPr>
          <w:rFonts w:ascii="Times New Roman" w:hAnsi="Times New Roman"/>
          <w:b w:val="false"/>
          <w:i/>
          <w:color w:val="000000"/>
          <w:sz w:val="24"/>
        </w:rPr>
        <w:t xml:space="preserve">Respite care services. </w:t>
      </w:r>
      <w:r>
        <w:rPr>
          <w:rFonts w:ascii="Times New Roman" w:hAnsi="Times New Roman"/>
          <w:b w:val="false"/>
          <w:i w:val="false"/>
          <w:color w:val="000000"/>
          <w:sz w:val="24"/>
        </w:rPr>
        <w:t xml:space="preserve">Respite care services are services provided pursuant to subrule </w:t>
      </w:r>
      <w:hyperlink r:id="rId303">
        <w:r>
          <w:rPr>
            <w:rStyle w:val="Hyperlink"/>
            <w:rFonts w:ascii="Times New Roman" w:hAnsi="Times New Roman"/>
            <w:b w:val="false"/>
            <w:i w:val="false"/>
            <w:color w:val="000000"/>
            <w:sz w:val="24"/>
          </w:rPr>
          <w:t>78.34(5)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78.41(3)</w:t>
      </w:r>
      <w:r>
        <w:rPr>
          <w:rFonts w:ascii="Times New Roman" w:hAnsi="Times New Roman"/>
          <w:b w:val="false"/>
          <w:i w:val="false"/>
          <w:color w:val="000000"/>
          <w:sz w:val="24"/>
        </w:rPr>
        <w:t> </w:t>
      </w:r>
      <w:r>
        <w:rPr>
          <w:rFonts w:ascii="Times New Roman" w:hAnsi="Times New Roman"/>
          <w:b w:val="false"/>
          <w:i/>
          <w:color w:val="000000"/>
          <w:sz w:val="24"/>
        </w:rPr>
        <w:t xml:space="preserve">Personal emergency response or portable locator system. </w:t>
      </w:r>
      <w:r>
        <w:rPr>
          <w:rFonts w:ascii="Times New Roman" w:hAnsi="Times New Roman"/>
          <w:b w:val="false"/>
          <w:i w:val="false"/>
          <w:color w:val="000000"/>
          <w:sz w:val="24"/>
        </w:rPr>
        <w:t xml:space="preserve">The personal emergency response or portable locator system are services provided pursuant to subrule </w:t>
      </w:r>
      <w:hyperlink r:id="rId304">
        <w:r>
          <w:rPr>
            <w:rStyle w:val="Hyperlink"/>
            <w:rFonts w:ascii="Times New Roman" w:hAnsi="Times New Roman"/>
            <w:b w:val="false"/>
            <w:i w:val="false"/>
            <w:color w:val="000000"/>
            <w:sz w:val="24"/>
          </w:rPr>
          <w:t>78.34(10)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78.41(4)</w:t>
      </w:r>
      <w:r>
        <w:rPr>
          <w:rFonts w:ascii="Times New Roman" w:hAnsi="Times New Roman"/>
          <w:b w:val="false"/>
          <w:i w:val="false"/>
          <w:color w:val="000000"/>
          <w:sz w:val="24"/>
        </w:rPr>
        <w:t> </w:t>
      </w:r>
      <w:r>
        <w:rPr>
          <w:rFonts w:ascii="Times New Roman" w:hAnsi="Times New Roman"/>
          <w:b w:val="false"/>
          <w:i/>
          <w:color w:val="000000"/>
          <w:sz w:val="24"/>
        </w:rPr>
        <w:t xml:space="preserve">Home and vehicle modification. </w:t>
      </w:r>
      <w:r>
        <w:rPr>
          <w:rFonts w:ascii="Times New Roman" w:hAnsi="Times New Roman"/>
          <w:b w:val="false"/>
          <w:i w:val="false"/>
          <w:color w:val="000000"/>
          <w:sz w:val="24"/>
        </w:rPr>
        <w:t xml:space="preserve">Covered home or vehicle modifications are activities provided pursuant to subrule </w:t>
      </w:r>
      <w:hyperlink r:id="rId305">
        <w:r>
          <w:rPr>
            <w:rStyle w:val="Hyperlink"/>
            <w:rFonts w:ascii="Times New Roman" w:hAnsi="Times New Roman"/>
            <w:b w:val="false"/>
            <w:i w:val="false"/>
            <w:color w:val="000000"/>
            <w:sz w:val="24"/>
          </w:rPr>
          <w:t>78.34(9)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78.41(5)</w:t>
      </w:r>
      <w:r>
        <w:rPr>
          <w:rFonts w:ascii="Times New Roman" w:hAnsi="Times New Roman"/>
          <w:b w:val="false"/>
          <w:i w:val="false"/>
          <w:color w:val="000000"/>
          <w:sz w:val="24"/>
        </w:rPr>
        <w:t> </w:t>
      </w:r>
      <w:r>
        <w:rPr>
          <w:rFonts w:ascii="Times New Roman" w:hAnsi="Times New Roman"/>
          <w:b w:val="false"/>
          <w:i/>
          <w:color w:val="000000"/>
          <w:sz w:val="24"/>
        </w:rPr>
        <w:t xml:space="preserve">Nursing services. </w:t>
      </w:r>
      <w:r>
        <w:rPr>
          <w:rFonts w:ascii="Times New Roman" w:hAnsi="Times New Roman"/>
          <w:b w:val="false"/>
          <w:i w:val="false"/>
          <w:color w:val="000000"/>
          <w:sz w:val="24"/>
        </w:rPr>
        <w:t>Nursing services are individualized in-home medical services provided by licensed nurses. Services shall exceed the Medicaid state plan services and be included in the member’s individual comprehensive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unit of service is one hour.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maximum of ten units are available per 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78.41(6)</w:t>
      </w:r>
      <w:r>
        <w:rPr>
          <w:rFonts w:ascii="Times New Roman" w:hAnsi="Times New Roman"/>
          <w:b w:val="false"/>
          <w:i w:val="false"/>
          <w:color w:val="000000"/>
          <w:sz w:val="24"/>
        </w:rPr>
        <w:t> </w:t>
      </w:r>
      <w:r>
        <w:rPr>
          <w:rFonts w:ascii="Times New Roman" w:hAnsi="Times New Roman"/>
          <w:b w:val="false"/>
          <w:i/>
          <w:color w:val="000000"/>
          <w:sz w:val="24"/>
        </w:rPr>
        <w:t xml:space="preserve">Home health aide services. </w:t>
      </w:r>
      <w:r>
        <w:rPr>
          <w:rFonts w:ascii="Times New Roman" w:hAnsi="Times New Roman"/>
          <w:b w:val="false"/>
          <w:i w:val="false"/>
          <w:color w:val="000000"/>
          <w:sz w:val="24"/>
        </w:rPr>
        <w:t xml:space="preserve">Home health aide services are personal or direct care services provided to the member that are not payable under Medicaid as set forth in rule </w:t>
      </w:r>
      <w:hyperlink r:id="rId306">
        <w:r>
          <w:rPr>
            <w:rStyle w:val="Hyperlink"/>
            <w:rFonts w:ascii="Times New Roman" w:hAnsi="Times New Roman"/>
            <w:b w:val="false"/>
            <w:i w:val="false"/>
            <w:color w:val="000000"/>
            <w:sz w:val="24"/>
          </w:rPr>
          <w:t>441—78.9</w:t>
        </w:r>
      </w:hyperlink>
      <w:r>
        <w:rPr>
          <w:rFonts w:ascii="Times New Roman" w:hAnsi="Times New Roman"/>
          <w:b w:val="false"/>
          <w:i w:val="false"/>
          <w:color w:val="000000"/>
          <w:sz w:val="24"/>
        </w:rPr>
        <w:t>(249A). Services shall include unskilled medical services and shall exceed those services provided under HCBS intellectual disability waiver supported community living. Instruction, supervision, support or assistance in personal hygiene, bathing, and daily living shall be provided under supported community living.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Services shall be included in the member’s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unit is one hour.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maximum of 14 units are available per 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78.41(7)</w:t>
      </w:r>
      <w:r>
        <w:rPr>
          <w:rFonts w:ascii="Times New Roman" w:hAnsi="Times New Roman"/>
          <w:b w:val="false"/>
          <w:i w:val="false"/>
          <w:color w:val="000000"/>
          <w:sz w:val="24"/>
        </w:rPr>
        <w:t> </w:t>
      </w:r>
      <w:r>
        <w:rPr>
          <w:rFonts w:ascii="Times New Roman" w:hAnsi="Times New Roman"/>
          <w:b w:val="false"/>
          <w:i/>
          <w:color w:val="000000"/>
          <w:sz w:val="24"/>
        </w:rPr>
        <w:t xml:space="preserve">Supported employment services. </w:t>
      </w:r>
      <w:r>
        <w:rPr>
          <w:rFonts w:ascii="Times New Roman" w:hAnsi="Times New Roman"/>
          <w:b w:val="false"/>
          <w:i w:val="false"/>
          <w:color w:val="000000"/>
          <w:sz w:val="24"/>
        </w:rPr>
        <w:t xml:space="preserve">Supported employment services are service activities provided pursuant to subrule </w:t>
      </w:r>
      <w:hyperlink r:id="rId307">
        <w:r>
          <w:rPr>
            <w:rStyle w:val="Hyperlink"/>
            <w:rFonts w:ascii="Times New Roman" w:hAnsi="Times New Roman"/>
            <w:b w:val="false"/>
            <w:i w:val="false"/>
            <w:color w:val="000000"/>
            <w:sz w:val="24"/>
          </w:rPr>
          <w:t>78.27(10)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78.41(8)</w:t>
      </w:r>
      <w:r>
        <w:rPr>
          <w:rFonts w:ascii="Times New Roman" w:hAnsi="Times New Roman"/>
          <w:b w:val="false"/>
          <w:i w:val="false"/>
          <w:color w:val="000000"/>
          <w:sz w:val="24"/>
        </w:rPr>
        <w:t> </w:t>
      </w:r>
      <w:r>
        <w:rPr>
          <w:rFonts w:ascii="Times New Roman" w:hAnsi="Times New Roman"/>
          <w:b w:val="false"/>
          <w:i/>
          <w:color w:val="000000"/>
          <w:sz w:val="24"/>
        </w:rPr>
        <w:t xml:space="preserve">Attendant care service. </w:t>
      </w:r>
      <w:r>
        <w:rPr>
          <w:rFonts w:ascii="Times New Roman" w:hAnsi="Times New Roman"/>
          <w:b w:val="false"/>
          <w:i w:val="false"/>
          <w:color w:val="000000"/>
          <w:sz w:val="24"/>
        </w:rPr>
        <w:t xml:space="preserve">Attendant care services are service activities performed pursuant to subrule </w:t>
      </w:r>
      <w:hyperlink r:id="rId308">
        <w:r>
          <w:rPr>
            <w:rStyle w:val="Hyperlink"/>
            <w:rFonts w:ascii="Times New Roman" w:hAnsi="Times New Roman"/>
            <w:b w:val="false"/>
            <w:i w:val="false"/>
            <w:color w:val="000000"/>
            <w:sz w:val="24"/>
          </w:rPr>
          <w:t>78.34(7)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78.41(9)</w:t>
      </w:r>
      <w:r>
        <w:rPr>
          <w:rFonts w:ascii="Times New Roman" w:hAnsi="Times New Roman"/>
          <w:b w:val="false"/>
          <w:i w:val="false"/>
          <w:color w:val="000000"/>
          <w:sz w:val="24"/>
        </w:rPr>
        <w:t> </w:t>
      </w:r>
      <w:r>
        <w:rPr>
          <w:rFonts w:ascii="Times New Roman" w:hAnsi="Times New Roman"/>
          <w:b w:val="false"/>
          <w:i/>
          <w:color w:val="000000"/>
          <w:sz w:val="24"/>
        </w:rPr>
        <w:t xml:space="preserve">IMMT services. </w:t>
      </w:r>
      <w:r>
        <w:rPr>
          <w:rFonts w:ascii="Times New Roman" w:hAnsi="Times New Roman"/>
          <w:b w:val="false"/>
          <w:i w:val="false"/>
          <w:color w:val="000000"/>
          <w:sz w:val="24"/>
        </w:rPr>
        <w:t xml:space="preserve">IMMT services are activities performed pursuant to subrule </w:t>
      </w:r>
      <w:hyperlink r:id="rId309">
        <w:r>
          <w:rPr>
            <w:rStyle w:val="Hyperlink"/>
            <w:rFonts w:ascii="Times New Roman" w:hAnsi="Times New Roman"/>
            <w:b w:val="false"/>
            <w:i w:val="false"/>
            <w:color w:val="000000"/>
            <w:sz w:val="24"/>
          </w:rPr>
          <w:t>78.34(8)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78.41(10)</w:t>
      </w:r>
      <w:r>
        <w:rPr>
          <w:rFonts w:ascii="Times New Roman" w:hAnsi="Times New Roman"/>
          <w:b w:val="false"/>
          <w:i w:val="false"/>
          <w:color w:val="000000"/>
          <w:sz w:val="24"/>
        </w:rPr>
        <w:t> </w:t>
      </w:r>
      <w:r>
        <w:rPr>
          <w:rFonts w:ascii="Times New Roman" w:hAnsi="Times New Roman"/>
          <w:b w:val="false"/>
          <w:i/>
          <w:color w:val="000000"/>
          <w:sz w:val="24"/>
        </w:rPr>
        <w:t xml:space="preserve">Residential-based supported community living services. </w:t>
      </w:r>
      <w:r>
        <w:rPr>
          <w:rFonts w:ascii="Times New Roman" w:hAnsi="Times New Roman"/>
          <w:b w:val="false"/>
          <w:i w:val="false"/>
          <w:color w:val="000000"/>
          <w:sz w:val="24"/>
        </w:rPr>
        <w:t>Residential-based supported community living services are medical or remedial services provided to children under the age of 18 while living outside their home in a certified residential-based supported community living environment furnished by the residential-based supported community living service provider. The services eliminate barriers to family reunification or assist in developing self-help skills for maximum independence.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Allowable service components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Daily living skills development. These are services to develop the child’s ability to function independently in the community on a daily basis, including training in food preparation, maintenance of living environment, time and money management, personal hygiene, and self-care.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Social skills development. These are services to develop a child’s communication and socialization skills, including interventions to develop a child’s ability to solve problems, resolve conflicts, develop appropriate relationships with others, and develop techniques for controlling behavior.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Family support development. These are services necessary to allow a child to return to the child’s family or another less restrictive service environment. These services must include counseling and therapy sessions that involve both the child and the child’s family at least 50 percent of the time and that focus on techniques for dealing with the special care needs of the child and interventions needed to alleviate behaviors that are disruptive to the family or other group living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Counseling and behavior intervention services. These are services to halt, control, or reverse stress and social, emotional, or behavioral problems that threaten or have negatively affected the child’s stability. Activities under this service include counseling and behavior intervention with the child, including interventions to ameliorate problem behaviors.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Residential-based supported community living services must also address the ordinary daily-living needs of the child, excluding room and board, such as needs for safety and security, social functioning, and other medical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Residential-based supported community living services do not include services associated with vocational needs, academics, day care, Medicaid case management, other case management, or any other services that the child can otherwise obtain through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Room and board costs are not reimbursable as residential-based supported community living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scope of service shall be identified in the child’s service plan pursuant to </w:t>
      </w:r>
      <w:hyperlink r:id="rId310">
        <w:r>
          <w:rPr>
            <w:rStyle w:val="Hyperlink"/>
            <w:rFonts w:ascii="Times New Roman" w:hAnsi="Times New Roman"/>
            <w:b w:val="false"/>
            <w:i w:val="false"/>
            <w:color w:val="000000"/>
            <w:sz w:val="24"/>
          </w:rPr>
          <w:t>441—paragraph 77.40(22)</w:t>
        </w:r>
        <w:r>
          <w:rPr>
            <w:rFonts w:ascii="Times New Roman" w:hAnsi="Times New Roman"/>
            <w:b w:val="false"/>
            <w:i/>
            <w:color w:val="000000"/>
            <w:sz w:val="24"/>
          </w:rPr>
          <w:t>“d.”</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Residential-based supported community living services will not be simultaneously reimbursed with other residential services provided under an HCBS waiver or otherwise provided under the Medicaid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unit of service is a day. A day is 24 hours of supervision and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maximum number of units of residential-based supported community living services available per child is 365 daily units per state fiscal year, except in a leap year when 366 daily units are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78.41(11)</w:t>
      </w:r>
      <w:r>
        <w:rPr>
          <w:rFonts w:ascii="Times New Roman" w:hAnsi="Times New Roman"/>
          <w:b w:val="false"/>
          <w:i w:val="false"/>
          <w:color w:val="000000"/>
          <w:sz w:val="24"/>
        </w:rPr>
        <w:t> </w:t>
      </w:r>
      <w:r>
        <w:rPr>
          <w:rFonts w:ascii="Times New Roman" w:hAnsi="Times New Roman"/>
          <w:b w:val="false"/>
          <w:i/>
          <w:color w:val="000000"/>
          <w:sz w:val="24"/>
        </w:rPr>
        <w:t xml:space="preserve">Transportation. </w:t>
      </w:r>
      <w:r>
        <w:rPr>
          <w:rFonts w:ascii="Times New Roman" w:hAnsi="Times New Roman"/>
          <w:b w:val="false"/>
          <w:i w:val="false"/>
          <w:color w:val="000000"/>
          <w:sz w:val="24"/>
        </w:rPr>
        <w:t>Transportation services may be provided for members to conduct business errands and essential shopping, to travel to and from work or day programs, and to reduce social isolation. A unit of service is one mile of transportation or one one-way trip. Transportation may not be reimbursed when HCBS intellectual disability waiver daily supported community living service is authorized in a member’s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78.41(12)</w:t>
      </w:r>
      <w:r>
        <w:rPr>
          <w:rFonts w:ascii="Times New Roman" w:hAnsi="Times New Roman"/>
          <w:b w:val="false"/>
          <w:i w:val="false"/>
          <w:color w:val="000000"/>
          <w:sz w:val="24"/>
        </w:rPr>
        <w:t> </w:t>
      </w:r>
      <w:r>
        <w:rPr>
          <w:rFonts w:ascii="Times New Roman" w:hAnsi="Times New Roman"/>
          <w:b w:val="false"/>
          <w:i/>
          <w:color w:val="000000"/>
          <w:sz w:val="24"/>
        </w:rPr>
        <w:t xml:space="preserve">Adult day care services. </w:t>
      </w:r>
      <w:r>
        <w:rPr>
          <w:rFonts w:ascii="Times New Roman" w:hAnsi="Times New Roman"/>
          <w:b w:val="false"/>
          <w:i w:val="false"/>
          <w:color w:val="000000"/>
          <w:sz w:val="24"/>
        </w:rPr>
        <w:t xml:space="preserve">Adult day care services are activities provided pursuant to subrule </w:t>
      </w:r>
      <w:hyperlink r:id="rId311">
        <w:r>
          <w:rPr>
            <w:rStyle w:val="Hyperlink"/>
            <w:rFonts w:ascii="Times New Roman" w:hAnsi="Times New Roman"/>
            <w:b w:val="false"/>
            <w:i w:val="false"/>
            <w:color w:val="000000"/>
            <w:sz w:val="24"/>
          </w:rPr>
          <w:t>78.34(3)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78.41(13)</w:t>
      </w:r>
      <w:r>
        <w:rPr>
          <w:rFonts w:ascii="Times New Roman" w:hAnsi="Times New Roman"/>
          <w:b w:val="false"/>
          <w:i w:val="false"/>
          <w:color w:val="000000"/>
          <w:sz w:val="24"/>
        </w:rPr>
        <w:t> </w:t>
      </w:r>
      <w:r>
        <w:rPr>
          <w:rFonts w:ascii="Times New Roman" w:hAnsi="Times New Roman"/>
          <w:b w:val="false"/>
          <w:i/>
          <w:color w:val="000000"/>
          <w:sz w:val="24"/>
        </w:rPr>
        <w:t xml:space="preserve">Prevocational services. </w:t>
      </w:r>
      <w:r>
        <w:rPr>
          <w:rFonts w:ascii="Times New Roman" w:hAnsi="Times New Roman"/>
          <w:b w:val="false"/>
          <w:i w:val="false"/>
          <w:color w:val="000000"/>
          <w:sz w:val="24"/>
        </w:rPr>
        <w:t xml:space="preserve">Prevocational services are service activities provided pursuant to subrule </w:t>
      </w:r>
      <w:hyperlink r:id="rId312">
        <w:r>
          <w:rPr>
            <w:rStyle w:val="Hyperlink"/>
            <w:rFonts w:ascii="Times New Roman" w:hAnsi="Times New Roman"/>
            <w:b w:val="false"/>
            <w:i w:val="false"/>
            <w:color w:val="000000"/>
            <w:sz w:val="24"/>
          </w:rPr>
          <w:t>78.27(9)</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78.41(14)</w:t>
      </w:r>
      <w:r>
        <w:rPr>
          <w:rFonts w:ascii="Times New Roman" w:hAnsi="Times New Roman"/>
          <w:b w:val="false"/>
          <w:i w:val="false"/>
          <w:color w:val="000000"/>
          <w:sz w:val="24"/>
        </w:rPr>
        <w:t> </w:t>
      </w:r>
      <w:r>
        <w:rPr>
          <w:rFonts w:ascii="Times New Roman" w:hAnsi="Times New Roman"/>
          <w:b w:val="false"/>
          <w:i/>
          <w:color w:val="000000"/>
          <w:sz w:val="24"/>
        </w:rPr>
        <w:t xml:space="preserve">Day habilitation. </w:t>
      </w:r>
      <w:r>
        <w:rPr>
          <w:rFonts w:ascii="Times New Roman" w:hAnsi="Times New Roman"/>
          <w:b w:val="false"/>
          <w:i w:val="false"/>
          <w:color w:val="000000"/>
          <w:sz w:val="24"/>
        </w:rPr>
        <w:t xml:space="preserve">Day habilitation services will be provided pursuant to subrule </w:t>
      </w:r>
      <w:hyperlink r:id="rId313">
        <w:r>
          <w:rPr>
            <w:rStyle w:val="Hyperlink"/>
            <w:rFonts w:ascii="Times New Roman" w:hAnsi="Times New Roman"/>
            <w:b w:val="false"/>
            <w:i w:val="false"/>
            <w:color w:val="000000"/>
            <w:sz w:val="24"/>
          </w:rPr>
          <w:t>78.27(8)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78.41(15)</w:t>
      </w:r>
      <w:r>
        <w:rPr>
          <w:rFonts w:ascii="Times New Roman" w:hAnsi="Times New Roman"/>
          <w:b w:val="false"/>
          <w:i w:val="false"/>
          <w:color w:val="000000"/>
          <w:sz w:val="24"/>
        </w:rPr>
        <w:t> </w:t>
      </w:r>
      <w:r>
        <w:rPr>
          <w:rFonts w:ascii="Times New Roman" w:hAnsi="Times New Roman"/>
          <w:b w:val="false"/>
          <w:i/>
          <w:color w:val="000000"/>
          <w:sz w:val="24"/>
        </w:rPr>
        <w:t xml:space="preserve">CCO. </w:t>
      </w:r>
      <w:r>
        <w:rPr>
          <w:rFonts w:ascii="Times New Roman" w:hAnsi="Times New Roman"/>
          <w:b w:val="false"/>
          <w:i w:val="false"/>
          <w:color w:val="000000"/>
          <w:sz w:val="24"/>
        </w:rPr>
        <w:t xml:space="preserve">The CCO is service activities provided pursuant to subrule </w:t>
      </w:r>
      <w:hyperlink r:id="rId314">
        <w:r>
          <w:rPr>
            <w:rStyle w:val="Hyperlink"/>
            <w:rFonts w:ascii="Times New Roman" w:hAnsi="Times New Roman"/>
            <w:b w:val="false"/>
            <w:i w:val="false"/>
            <w:color w:val="000000"/>
            <w:sz w:val="24"/>
          </w:rPr>
          <w:t>78.34(13)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78.41(16)</w:t>
      </w:r>
      <w:r>
        <w:rPr>
          <w:rFonts w:ascii="Times New Roman" w:hAnsi="Times New Roman"/>
          <w:b w:val="false"/>
          <w:i w:val="false"/>
          <w:color w:val="000000"/>
          <w:sz w:val="24"/>
        </w:rPr>
        <w:t> </w:t>
      </w:r>
      <w:r>
        <w:rPr>
          <w:rFonts w:ascii="Times New Roman" w:hAnsi="Times New Roman"/>
          <w:b w:val="false"/>
          <w:i/>
          <w:color w:val="000000"/>
          <w:sz w:val="24"/>
        </w:rPr>
        <w:t xml:space="preserve">General service standards. </w:t>
      </w:r>
      <w:r>
        <w:rPr>
          <w:rFonts w:ascii="Times New Roman" w:hAnsi="Times New Roman"/>
          <w:b w:val="false"/>
          <w:i w:val="false"/>
          <w:color w:val="000000"/>
          <w:sz w:val="24"/>
        </w:rPr>
        <w:t>All intellectual disability waiver services must be provided in accordance with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Reimbursement will not be available under the waiver for any services the member can obtain as other nonwaiver Medicaid services or through any other funding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services provided under the waiver must be delivered in the least restrictive environment possible and in conformity with the member’s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All rights restrictions must be implemented in accordance with </w:t>
      </w:r>
      <w:hyperlink r:id="rId315">
        <w:r>
          <w:rPr>
            <w:rStyle w:val="Hyperlink"/>
            <w:rFonts w:ascii="Times New Roman" w:hAnsi="Times New Roman"/>
            <w:b w:val="false"/>
            <w:i w:val="false"/>
            <w:color w:val="000000"/>
            <w:sz w:val="24"/>
          </w:rPr>
          <w:t>441—subrule 77.30(4)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Services must be billed in whole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For all services with a 15-minute unit of service, the rounding process outlined in paragraph </w:t>
      </w:r>
      <w:hyperlink r:id="rId316">
        <w:r>
          <w:rPr>
            <w:rStyle w:val="Hyperlink"/>
            <w:rFonts w:ascii="Times New Roman" w:hAnsi="Times New Roman"/>
            <w:b w:val="false"/>
            <w:i w:val="false"/>
            <w:color w:val="000000"/>
            <w:sz w:val="24"/>
          </w:rPr>
          <w:t>78.34(14)</w:t>
        </w:r>
      </w:hyperlink>
      <w:r>
        <w:rPr>
          <w:rFonts w:ascii="Times New Roman" w:hAnsi="Times New Roman"/>
          <w:b w:val="false"/>
          <w:i/>
          <w:color w:val="000000"/>
          <w:sz w:val="24"/>
        </w:rPr>
        <w:t>“e”</w:t>
      </w:r>
      <w:r>
        <w:rPr>
          <w:rFonts w:ascii="Times New Roman" w:hAnsi="Times New Roman"/>
          <w:b w:val="false"/>
          <w:i w:val="false"/>
          <w:color w:val="000000"/>
          <w:sz w:val="24"/>
        </w:rPr>
        <w:t xml:space="preserve"> will apply.</w:t>
      </w:r>
    </w:p>
    <w:p>
      <w:pPr>
        <w:spacing w:before="0" w:after="0" w:line="480"/>
        <w:ind w:left="120"/>
        <w:jc w:val="both"/>
      </w:pPr>
      <w:r>
        <w:rPr>
          <w:rFonts w:ascii="Times New Roman" w:hAnsi="Times New Roman"/>
          <w:b/>
          <w:i w:val="false"/>
          <w:color w:val="000000"/>
          <w:sz w:val="24"/>
        </w:rPr>
        <w:t>441—78.42</w:t>
      </w:r>
      <w:r>
        <w:rPr>
          <w:rFonts w:ascii="Times New Roman" w:hAnsi="Times New Roman"/>
          <w:b/>
          <w:i w:val="false"/>
          <w:color w:val="000000"/>
          <w:sz w:val="24"/>
        </w:rPr>
        <w:t xml:space="preserve">(249A) </w:t>
      </w:r>
      <w:r>
        <w:rPr>
          <w:rFonts w:ascii="Times New Roman" w:hAnsi="Times New Roman"/>
          <w:b/>
          <w:i w:val="false"/>
          <w:color w:val="000000"/>
          <w:sz w:val="24"/>
        </w:rPr>
        <w:t xml:space="preserve">Pharmacists providing covered vaccines. </w:t>
      </w:r>
      <w:r>
        <w:rPr>
          <w:rFonts w:ascii="Times New Roman" w:hAnsi="Times New Roman"/>
          <w:b w:val="false"/>
          <w:i w:val="false"/>
          <w:color w:val="000000"/>
          <w:sz w:val="24"/>
        </w:rPr>
        <w:t xml:space="preserve">When the authorized pharmacist providing the vaccine meets all Iowa board of pharmacy expanded practice standards and Medicaid requirements, payment will be made for the following: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78.42(1)</w:t>
      </w:r>
      <w:r>
        <w:rPr>
          <w:rFonts w:ascii="Times New Roman" w:hAnsi="Times New Roman"/>
          <w:b w:val="false"/>
          <w:i w:val="false"/>
          <w:color w:val="000000"/>
          <w:sz w:val="24"/>
        </w:rPr>
        <w:t> </w:t>
      </w:r>
      <w:r>
        <w:rPr>
          <w:rFonts w:ascii="Times New Roman" w:hAnsi="Times New Roman"/>
          <w:b w:val="false"/>
          <w:i/>
          <w:color w:val="000000"/>
          <w:sz w:val="24"/>
        </w:rPr>
        <w:t xml:space="preserve">Vaccines administered to children. </w:t>
      </w:r>
      <w:r>
        <w:rPr>
          <w:rFonts w:ascii="Times New Roman" w:hAnsi="Times New Roman"/>
          <w:b w:val="false"/>
          <w:i w:val="false"/>
          <w:color w:val="000000"/>
          <w:sz w:val="24"/>
        </w:rPr>
        <w:t xml:space="preserve">Payment will be made to an enrolled provider for an administration fee for vaccines available through the VFC program administered by the department if the provider is enrolled in the VFC program. Payment will be made for the vaccine cost only if the VFC program stock has been depleted.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78.42(2)</w:t>
      </w:r>
      <w:r>
        <w:rPr>
          <w:rFonts w:ascii="Times New Roman" w:hAnsi="Times New Roman"/>
          <w:b w:val="false"/>
          <w:i w:val="false"/>
          <w:color w:val="000000"/>
          <w:sz w:val="24"/>
        </w:rPr>
        <w:t> </w:t>
      </w:r>
      <w:r>
        <w:rPr>
          <w:rFonts w:ascii="Times New Roman" w:hAnsi="Times New Roman"/>
          <w:b w:val="false"/>
          <w:i/>
          <w:color w:val="000000"/>
          <w:sz w:val="24"/>
        </w:rPr>
        <w:t xml:space="preserve">Vaccines administered to adults. </w:t>
      </w:r>
      <w:r>
        <w:rPr>
          <w:rFonts w:ascii="Times New Roman" w:hAnsi="Times New Roman"/>
          <w:b w:val="false"/>
          <w:i w:val="false"/>
          <w:color w:val="000000"/>
          <w:sz w:val="24"/>
        </w:rPr>
        <w:t xml:space="preserve">Payment will be made to an enrolled provider for an administration fee and vaccine cost.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78.42(3)</w:t>
      </w:r>
      <w:r>
        <w:rPr>
          <w:rFonts w:ascii="Times New Roman" w:hAnsi="Times New Roman"/>
          <w:b w:val="false"/>
          <w:i w:val="false"/>
          <w:color w:val="000000"/>
          <w:sz w:val="24"/>
        </w:rPr>
        <w:t> </w:t>
      </w:r>
      <w:r>
        <w:rPr>
          <w:rFonts w:ascii="Times New Roman" w:hAnsi="Times New Roman"/>
          <w:b w:val="false"/>
          <w:i/>
          <w:color w:val="000000"/>
          <w:sz w:val="24"/>
        </w:rPr>
        <w:t xml:space="preserve">Verification and reporting. </w:t>
      </w:r>
      <w:r>
        <w:rPr>
          <w:rFonts w:ascii="Times New Roman" w:hAnsi="Times New Roman"/>
          <w:b w:val="false"/>
          <w:i w:val="false"/>
          <w:color w:val="000000"/>
          <w:sz w:val="24"/>
        </w:rPr>
        <w:t>Prior to the ordering and administration of an immunization pursuant to statewide protocol, the authorized pharmacist shall consult and review the Iowa Immunization Registry Information System (IRIS) or Iowa Health Information Network (IHIN). Within 30 calendar days following administration of any vaccine, the pharmacist shall report such administration to the patient’s primary health care provider, primary physician, and IRIS or IHIN. If a patient does not have a primary health care provider, the pharmacist shall provide the patient with a written record of the vaccine administered to the patient and shall advise the patient to consult a physician.</w:t>
      </w:r>
    </w:p>
    <w:p>
      <w:pPr>
        <w:spacing w:before="0" w:after="0" w:line="480"/>
        <w:ind w:left="120"/>
        <w:jc w:val="both"/>
      </w:pPr>
      <w:r>
        <w:rPr>
          <w:rFonts w:ascii="Times New Roman" w:hAnsi="Times New Roman"/>
          <w:b/>
          <w:i w:val="false"/>
          <w:color w:val="000000"/>
          <w:sz w:val="24"/>
        </w:rPr>
        <w:t>441—78.43</w:t>
      </w:r>
      <w:r>
        <w:rPr>
          <w:rFonts w:ascii="Times New Roman" w:hAnsi="Times New Roman"/>
          <w:b/>
          <w:i w:val="false"/>
          <w:color w:val="000000"/>
          <w:sz w:val="24"/>
        </w:rPr>
        <w:t xml:space="preserve">(249A) </w:t>
      </w:r>
      <w:r>
        <w:rPr>
          <w:rFonts w:ascii="Times New Roman" w:hAnsi="Times New Roman"/>
          <w:b/>
          <w:i w:val="false"/>
          <w:color w:val="000000"/>
          <w:sz w:val="24"/>
        </w:rPr>
        <w:t xml:space="preserve">HCBS brain injury waiver services. </w:t>
      </w:r>
      <w:r>
        <w:rPr>
          <w:rFonts w:ascii="Times New Roman" w:hAnsi="Times New Roman"/>
          <w:b w:val="false"/>
          <w:i w:val="false"/>
          <w:color w:val="000000"/>
          <w:sz w:val="24"/>
        </w:rPr>
        <w:t xml:space="preserve">Payment will be approved for the following services to members eligible for the HCBS brain injury waiver services as established in </w:t>
      </w:r>
      <w:hyperlink r:id="rId317">
        <w:r>
          <w:rPr>
            <w:rStyle w:val="Hyperlink"/>
            <w:rFonts w:ascii="Times New Roman" w:hAnsi="Times New Roman"/>
            <w:b w:val="false"/>
            <w:i w:val="false"/>
            <w:color w:val="000000"/>
            <w:sz w:val="24"/>
          </w:rPr>
          <w:t>441—Chapter 83</w:t>
        </w:r>
      </w:hyperlink>
      <w:r>
        <w:rPr>
          <w:rFonts w:ascii="Times New Roman" w:hAnsi="Times New Roman"/>
          <w:b w:val="false"/>
          <w:i w:val="false"/>
          <w:color w:val="000000"/>
          <w:sz w:val="24"/>
        </w:rPr>
        <w:t xml:space="preserve"> and as identified in the member’s service plan. Payment will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78.43(1)</w:t>
      </w:r>
      <w:r>
        <w:rPr>
          <w:rFonts w:ascii="Times New Roman" w:hAnsi="Times New Roman"/>
          <w:b w:val="false"/>
          <w:i w:val="false"/>
          <w:color w:val="000000"/>
          <w:sz w:val="24"/>
        </w:rPr>
        <w:t> </w:t>
      </w:r>
      <w:r>
        <w:rPr>
          <w:rFonts w:ascii="Times New Roman" w:hAnsi="Times New Roman"/>
          <w:b w:val="false"/>
          <w:i/>
          <w:color w:val="000000"/>
          <w:sz w:val="24"/>
        </w:rPr>
        <w:t xml:space="preserve">Case management services. </w:t>
      </w:r>
      <w:r>
        <w:rPr>
          <w:rFonts w:ascii="Times New Roman" w:hAnsi="Times New Roman"/>
          <w:b w:val="false"/>
          <w:i w:val="false"/>
          <w:color w:val="000000"/>
          <w:sz w:val="24"/>
        </w:rPr>
        <w:t>Individual case management services means services that assist members who reside in a community setting or are transitioning to a community setting in gaining access to needed medical, social, educational, housing, transportation, vocational, and other appropriate services in order to ensure the health, safety, and welfare of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Case management services shall be provided as set forth in rules </w:t>
      </w:r>
      <w:hyperlink r:id="rId318">
        <w:r>
          <w:rPr>
            <w:rStyle w:val="Hyperlink"/>
            <w:rFonts w:ascii="Times New Roman" w:hAnsi="Times New Roman"/>
            <w:b w:val="false"/>
            <w:i w:val="false"/>
            <w:color w:val="000000"/>
            <w:sz w:val="24"/>
          </w:rPr>
          <w:t>441—90.4</w:t>
        </w:r>
      </w:hyperlink>
      <w:r>
        <w:rPr>
          <w:rFonts w:ascii="Times New Roman" w:hAnsi="Times New Roman"/>
          <w:b w:val="false"/>
          <w:i w:val="false"/>
          <w:color w:val="000000"/>
          <w:sz w:val="24"/>
        </w:rPr>
        <w:t xml:space="preserve">(249A) through </w:t>
      </w:r>
      <w:hyperlink r:id="rId319">
        <w:r>
          <w:rPr>
            <w:rStyle w:val="Hyperlink"/>
            <w:rFonts w:ascii="Times New Roman" w:hAnsi="Times New Roman"/>
            <w:b w:val="false"/>
            <w:i w:val="false"/>
            <w:color w:val="000000"/>
            <w:sz w:val="24"/>
          </w:rPr>
          <w:t>441—90.7</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service shall be delivered in such a way as to enhance the capabilities of members and their families to exercise their rights and responsibilities as citizens in the community. The goal is to enhance the ability of the member to exercise choice, make decisions, take risks that are a typical part of life, and fully participate as members of the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case manager must develop a relationship with the member so that the abilities, needs and desires of the member can be clearly identified and communicated and the case manager can help to ensure that the system and specific services are responsive to the needs of the individual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Members who are eligible for targeted case management are not eligible for case management as a waiver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78.43(2)</w:t>
      </w:r>
      <w:r>
        <w:rPr>
          <w:rFonts w:ascii="Times New Roman" w:hAnsi="Times New Roman"/>
          <w:b w:val="false"/>
          <w:i w:val="false"/>
          <w:color w:val="000000"/>
          <w:sz w:val="24"/>
        </w:rPr>
        <w:t> </w:t>
      </w:r>
      <w:r>
        <w:rPr>
          <w:rFonts w:ascii="Times New Roman" w:hAnsi="Times New Roman"/>
          <w:b w:val="false"/>
          <w:i/>
          <w:color w:val="000000"/>
          <w:sz w:val="24"/>
        </w:rPr>
        <w:t xml:space="preserve">Supported community living services. </w:t>
      </w:r>
      <w:r>
        <w:rPr>
          <w:rFonts w:ascii="Times New Roman" w:hAnsi="Times New Roman"/>
          <w:b w:val="false"/>
          <w:i w:val="false"/>
          <w:color w:val="000000"/>
          <w:sz w:val="24"/>
        </w:rPr>
        <w:t xml:space="preserve">Supported community living services are provided pursuant to subrule </w:t>
      </w:r>
      <w:hyperlink r:id="rId320">
        <w:r>
          <w:rPr>
            <w:rStyle w:val="Hyperlink"/>
            <w:rFonts w:ascii="Times New Roman" w:hAnsi="Times New Roman"/>
            <w:b w:val="false"/>
            <w:i w:val="false"/>
            <w:color w:val="000000"/>
            <w:sz w:val="24"/>
          </w:rPr>
          <w:t>78.41(1)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78.43(3)</w:t>
      </w:r>
      <w:r>
        <w:rPr>
          <w:rFonts w:ascii="Times New Roman" w:hAnsi="Times New Roman"/>
          <w:b w:val="false"/>
          <w:i w:val="false"/>
          <w:color w:val="000000"/>
          <w:sz w:val="24"/>
        </w:rPr>
        <w:t> </w:t>
      </w:r>
      <w:r>
        <w:rPr>
          <w:rFonts w:ascii="Times New Roman" w:hAnsi="Times New Roman"/>
          <w:b w:val="false"/>
          <w:i/>
          <w:color w:val="000000"/>
          <w:sz w:val="24"/>
        </w:rPr>
        <w:t xml:space="preserve">Supported employment services. </w:t>
      </w:r>
      <w:r>
        <w:rPr>
          <w:rFonts w:ascii="Times New Roman" w:hAnsi="Times New Roman"/>
          <w:b w:val="false"/>
          <w:i w:val="false"/>
          <w:color w:val="000000"/>
          <w:sz w:val="24"/>
        </w:rPr>
        <w:t xml:space="preserve">Supported employment services are service activities provided pursuant to subrule </w:t>
      </w:r>
      <w:hyperlink r:id="rId321">
        <w:r>
          <w:rPr>
            <w:rStyle w:val="Hyperlink"/>
            <w:rFonts w:ascii="Times New Roman" w:hAnsi="Times New Roman"/>
            <w:b w:val="false"/>
            <w:i w:val="false"/>
            <w:color w:val="000000"/>
            <w:sz w:val="24"/>
          </w:rPr>
          <w:t>78.27(10)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78.43(4)</w:t>
      </w:r>
      <w:r>
        <w:rPr>
          <w:rFonts w:ascii="Times New Roman" w:hAnsi="Times New Roman"/>
          <w:b w:val="false"/>
          <w:i w:val="false"/>
          <w:color w:val="000000"/>
          <w:sz w:val="24"/>
        </w:rPr>
        <w:t> </w:t>
      </w:r>
      <w:r>
        <w:rPr>
          <w:rFonts w:ascii="Times New Roman" w:hAnsi="Times New Roman"/>
          <w:b w:val="false"/>
          <w:i/>
          <w:color w:val="000000"/>
          <w:sz w:val="24"/>
        </w:rPr>
        <w:t xml:space="preserve">Home and vehicle modification. </w:t>
      </w:r>
      <w:r>
        <w:rPr>
          <w:rFonts w:ascii="Times New Roman" w:hAnsi="Times New Roman"/>
          <w:b w:val="false"/>
          <w:i w:val="false"/>
          <w:color w:val="000000"/>
          <w:sz w:val="24"/>
        </w:rPr>
        <w:t xml:space="preserve">Covered home or vehicle modifications are activities provided pursuant to subrule </w:t>
      </w:r>
      <w:hyperlink r:id="rId322">
        <w:r>
          <w:rPr>
            <w:rStyle w:val="Hyperlink"/>
            <w:rFonts w:ascii="Times New Roman" w:hAnsi="Times New Roman"/>
            <w:b w:val="false"/>
            <w:i w:val="false"/>
            <w:color w:val="000000"/>
            <w:sz w:val="24"/>
          </w:rPr>
          <w:t>78.34(9)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78.43(5)</w:t>
      </w:r>
      <w:r>
        <w:rPr>
          <w:rFonts w:ascii="Times New Roman" w:hAnsi="Times New Roman"/>
          <w:b w:val="false"/>
          <w:i w:val="false"/>
          <w:color w:val="000000"/>
          <w:sz w:val="24"/>
        </w:rPr>
        <w:t> </w:t>
      </w:r>
      <w:r>
        <w:rPr>
          <w:rFonts w:ascii="Times New Roman" w:hAnsi="Times New Roman"/>
          <w:b w:val="false"/>
          <w:i/>
          <w:color w:val="000000"/>
          <w:sz w:val="24"/>
        </w:rPr>
        <w:t xml:space="preserve">Personal emergency response or portable locator system. </w:t>
      </w:r>
      <w:r>
        <w:rPr>
          <w:rFonts w:ascii="Times New Roman" w:hAnsi="Times New Roman"/>
          <w:b w:val="false"/>
          <w:i w:val="false"/>
          <w:color w:val="000000"/>
          <w:sz w:val="24"/>
        </w:rPr>
        <w:t xml:space="preserve">A personal emergency response or portable locator system are services provided pursuant to subrule </w:t>
      </w:r>
      <w:hyperlink r:id="rId323">
        <w:r>
          <w:rPr>
            <w:rStyle w:val="Hyperlink"/>
            <w:rFonts w:ascii="Times New Roman" w:hAnsi="Times New Roman"/>
            <w:b w:val="false"/>
            <w:i w:val="false"/>
            <w:color w:val="000000"/>
            <w:sz w:val="24"/>
          </w:rPr>
          <w:t>78.34(10)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78.43(6)</w:t>
      </w:r>
      <w:r>
        <w:rPr>
          <w:rFonts w:ascii="Times New Roman" w:hAnsi="Times New Roman"/>
          <w:b w:val="false"/>
          <w:i w:val="false"/>
          <w:color w:val="000000"/>
          <w:sz w:val="24"/>
        </w:rPr>
        <w:t> </w:t>
      </w:r>
      <w:r>
        <w:rPr>
          <w:rFonts w:ascii="Times New Roman" w:hAnsi="Times New Roman"/>
          <w:b w:val="false"/>
          <w:i/>
          <w:color w:val="000000"/>
          <w:sz w:val="24"/>
        </w:rPr>
        <w:t xml:space="preserve">Transportation. </w:t>
      </w:r>
      <w:r>
        <w:rPr>
          <w:rFonts w:ascii="Times New Roman" w:hAnsi="Times New Roman"/>
          <w:b w:val="false"/>
          <w:i w:val="false"/>
          <w:color w:val="000000"/>
          <w:sz w:val="24"/>
        </w:rPr>
        <w:t>Transportation services may be provided for members to conduct business errands and essential shopping, to travel to and from work or day programs, and to reduce social isolation. A unit of service is one mile of transportation or one one-way trip. Transportation may not be reimbursed simultaneously with HCBS brain injury waiver supported community living service when the transportation costs are included within the supported community living reimbursement 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78.43(7)</w:t>
      </w:r>
      <w:r>
        <w:rPr>
          <w:rFonts w:ascii="Times New Roman" w:hAnsi="Times New Roman"/>
          <w:b w:val="false"/>
          <w:i w:val="false"/>
          <w:color w:val="000000"/>
          <w:sz w:val="24"/>
        </w:rPr>
        <w:t> </w:t>
      </w:r>
      <w:r>
        <w:rPr>
          <w:rFonts w:ascii="Times New Roman" w:hAnsi="Times New Roman"/>
          <w:b w:val="false"/>
          <w:i/>
          <w:color w:val="000000"/>
          <w:sz w:val="24"/>
        </w:rPr>
        <w:t xml:space="preserve">Specialized medical equipment.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Specialized medical equipment includes medically necessary items that are for personal use by members with a brain injury and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Provide for health and safety of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Are not ordinarily covered by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Are not funded by educational or vocational rehabilitation programs,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Are not provided by voluntary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Coverage includes, but is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Electronic aids and organizers.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Medicine dispensing devices.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Communication devices.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Bath aids.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Noncovered environmental control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Repair and maintenance of items purchased through the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may be made to enrolled specialized medical equipment providers upon satisfactory receipt of the service not to exceed the service limitations published on the Iowa Medicaid fee schedule webpage.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need for specialized medical equipment shall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Documented by a health care professional as necessary for the member’s health and safety,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Identified in the member’s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for most items will be based on a fee schedule. The amount of the fee will be determined as directed in </w:t>
      </w:r>
      <w:hyperlink r:id="rId324">
        <w:r>
          <w:rPr>
            <w:rStyle w:val="Hyperlink"/>
            <w:rFonts w:ascii="Times New Roman" w:hAnsi="Times New Roman"/>
            <w:b w:val="false"/>
            <w:i w:val="false"/>
            <w:color w:val="000000"/>
            <w:sz w:val="24"/>
          </w:rPr>
          <w:t>441—subrule 79.1(17)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78.43(8)</w:t>
      </w:r>
      <w:r>
        <w:rPr>
          <w:rFonts w:ascii="Times New Roman" w:hAnsi="Times New Roman"/>
          <w:b w:val="false"/>
          <w:i w:val="false"/>
          <w:color w:val="000000"/>
          <w:sz w:val="24"/>
        </w:rPr>
        <w:t> </w:t>
      </w:r>
      <w:r>
        <w:rPr>
          <w:rFonts w:ascii="Times New Roman" w:hAnsi="Times New Roman"/>
          <w:b w:val="false"/>
          <w:i/>
          <w:color w:val="000000"/>
          <w:sz w:val="24"/>
        </w:rPr>
        <w:t xml:space="preserve">Adult day care services. </w:t>
      </w:r>
      <w:r>
        <w:rPr>
          <w:rFonts w:ascii="Times New Roman" w:hAnsi="Times New Roman"/>
          <w:b w:val="false"/>
          <w:i w:val="false"/>
          <w:color w:val="000000"/>
          <w:sz w:val="24"/>
        </w:rPr>
        <w:t xml:space="preserve">Adult day care services are activities provided pursuant to subrule </w:t>
      </w:r>
      <w:hyperlink r:id="rId325">
        <w:r>
          <w:rPr>
            <w:rStyle w:val="Hyperlink"/>
            <w:rFonts w:ascii="Times New Roman" w:hAnsi="Times New Roman"/>
            <w:b w:val="false"/>
            <w:i w:val="false"/>
            <w:color w:val="000000"/>
            <w:sz w:val="24"/>
          </w:rPr>
          <w:t>78.34(3)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78.43(9)</w:t>
      </w:r>
      <w:r>
        <w:rPr>
          <w:rFonts w:ascii="Times New Roman" w:hAnsi="Times New Roman"/>
          <w:b w:val="false"/>
          <w:i w:val="false"/>
          <w:color w:val="000000"/>
          <w:sz w:val="24"/>
        </w:rPr>
        <w:t> </w:t>
      </w:r>
      <w:r>
        <w:rPr>
          <w:rFonts w:ascii="Times New Roman" w:hAnsi="Times New Roman"/>
          <w:b w:val="false"/>
          <w:i/>
          <w:color w:val="000000"/>
          <w:sz w:val="24"/>
        </w:rPr>
        <w:t xml:space="preserve">Family counseling and training services. </w:t>
      </w:r>
      <w:r>
        <w:rPr>
          <w:rFonts w:ascii="Times New Roman" w:hAnsi="Times New Roman"/>
          <w:b w:val="false"/>
          <w:i w:val="false"/>
          <w:color w:val="000000"/>
          <w:sz w:val="24"/>
        </w:rPr>
        <w:t>Family counseling and training services are face-to-face mental health services provided to the member and the family with whom the member lives, or who routinely provide care to the member to increase the member’s or family members’ capabilities to maintain and care for the member in the community. Counseling may include helping the member or the member’s family members with crisis, coping strategies, stress reduction, management of depression, alleviation of psychosocial isolation and support in coping with the effects of a brain injury. It may include the use of treatment regimes as specified in the individual treatment plan. Periodic training updates may be necessary to safely maintain the member in the community.</w:t>
      </w:r>
    </w:p>
    <w:p>
      <w:pPr>
        <w:spacing w:before="0" w:after="0" w:line="480"/>
        <w:ind w:left="120"/>
        <w:jc w:val="both"/>
      </w:pPr>
      <w:r>
        <w:rPr>
          <w:rFonts w:ascii="Times New Roman" w:hAnsi="Times New Roman"/>
          <w:b w:val="false"/>
          <w:i w:val="false"/>
          <w:color w:val="000000"/>
          <w:sz w:val="24"/>
        </w:rPr>
        <w:t>Family may include spouse, children, friends, or in-laws of the member. Family does not include individuals who are employed to care for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78.43(10)</w:t>
      </w:r>
      <w:r>
        <w:rPr>
          <w:rFonts w:ascii="Times New Roman" w:hAnsi="Times New Roman"/>
          <w:b w:val="false"/>
          <w:i w:val="false"/>
          <w:color w:val="000000"/>
          <w:sz w:val="24"/>
        </w:rPr>
        <w:t> </w:t>
      </w:r>
      <w:r>
        <w:rPr>
          <w:rFonts w:ascii="Times New Roman" w:hAnsi="Times New Roman"/>
          <w:b w:val="false"/>
          <w:i/>
          <w:color w:val="000000"/>
          <w:sz w:val="24"/>
        </w:rPr>
        <w:t xml:space="preserve">Prevocational services. </w:t>
      </w:r>
      <w:r>
        <w:rPr>
          <w:rFonts w:ascii="Times New Roman" w:hAnsi="Times New Roman"/>
          <w:b w:val="false"/>
          <w:i w:val="false"/>
          <w:color w:val="000000"/>
          <w:sz w:val="24"/>
        </w:rPr>
        <w:t xml:space="preserve">Prevocational services are service activities provided pursuant to subrule </w:t>
      </w:r>
      <w:hyperlink r:id="rId326">
        <w:r>
          <w:rPr>
            <w:rStyle w:val="Hyperlink"/>
            <w:rFonts w:ascii="Times New Roman" w:hAnsi="Times New Roman"/>
            <w:b w:val="false"/>
            <w:i w:val="false"/>
            <w:color w:val="000000"/>
            <w:sz w:val="24"/>
          </w:rPr>
          <w:t>78.27(9)</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78.43(11)</w:t>
      </w:r>
      <w:r>
        <w:rPr>
          <w:rFonts w:ascii="Times New Roman" w:hAnsi="Times New Roman"/>
          <w:b w:val="false"/>
          <w:i w:val="false"/>
          <w:color w:val="000000"/>
          <w:sz w:val="24"/>
        </w:rPr>
        <w:t> </w:t>
      </w:r>
      <w:r>
        <w:rPr>
          <w:rFonts w:ascii="Times New Roman" w:hAnsi="Times New Roman"/>
          <w:b w:val="false"/>
          <w:i/>
          <w:color w:val="000000"/>
          <w:sz w:val="24"/>
        </w:rPr>
        <w:t xml:space="preserve">Behavioral programming. </w:t>
      </w:r>
      <w:r>
        <w:rPr>
          <w:rFonts w:ascii="Times New Roman" w:hAnsi="Times New Roman"/>
          <w:b w:val="false"/>
          <w:i w:val="false"/>
          <w:color w:val="000000"/>
          <w:sz w:val="24"/>
        </w:rPr>
        <w:t>Behavioral programming consists of individually designed strategies to increase the member’s appropriate behaviors and decrease the member’s maladaptive behaviors which have interfered with the member’s ability to remain in the community. Behavioral programming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complete assessment of both appropriate and maladaptive behaviors.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Development of a structured behavioral intervention plan which should be identified in the individual treatment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Implementation of the behavioral intervention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Ongoing training and supervision to caregivers and behavioral aides.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Periodic reassessment of the plan.</w:t>
      </w:r>
    </w:p>
    <w:p>
      <w:pPr>
        <w:spacing w:before="0" w:after="0" w:line="480"/>
        <w:ind w:left="120"/>
        <w:jc w:val="both"/>
      </w:pPr>
      <w:r>
        <w:rPr>
          <w:rFonts w:ascii="Times New Roman" w:hAnsi="Times New Roman"/>
          <w:b w:val="false"/>
          <w:i w:val="false"/>
          <w:color w:val="000000"/>
          <w:sz w:val="24"/>
        </w:rPr>
        <w:t>Types of appropriate behavioral programming include but are not limited to clinical redirection, token economies, reinforcement, extinction, modeling, and over-learning.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78.43(12)</w:t>
      </w:r>
      <w:r>
        <w:rPr>
          <w:rFonts w:ascii="Times New Roman" w:hAnsi="Times New Roman"/>
          <w:b w:val="false"/>
          <w:i w:val="false"/>
          <w:color w:val="000000"/>
          <w:sz w:val="24"/>
        </w:rPr>
        <w:t> </w:t>
      </w:r>
      <w:r>
        <w:rPr>
          <w:rFonts w:ascii="Times New Roman" w:hAnsi="Times New Roman"/>
          <w:b w:val="false"/>
          <w:i/>
          <w:color w:val="000000"/>
          <w:sz w:val="24"/>
        </w:rPr>
        <w:t xml:space="preserve">Attendant care service. </w:t>
      </w:r>
      <w:r>
        <w:rPr>
          <w:rFonts w:ascii="Times New Roman" w:hAnsi="Times New Roman"/>
          <w:b w:val="false"/>
          <w:i w:val="false"/>
          <w:color w:val="000000"/>
          <w:sz w:val="24"/>
        </w:rPr>
        <w:t xml:space="preserve">Attendant care services are service activities performed pursuant to subrule </w:t>
      </w:r>
      <w:hyperlink r:id="rId327">
        <w:r>
          <w:rPr>
            <w:rStyle w:val="Hyperlink"/>
            <w:rFonts w:ascii="Times New Roman" w:hAnsi="Times New Roman"/>
            <w:b w:val="false"/>
            <w:i w:val="false"/>
            <w:color w:val="000000"/>
            <w:sz w:val="24"/>
          </w:rPr>
          <w:t>78.34(7)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78.43(13)</w:t>
      </w:r>
      <w:r>
        <w:rPr>
          <w:rFonts w:ascii="Times New Roman" w:hAnsi="Times New Roman"/>
          <w:b w:val="false"/>
          <w:i w:val="false"/>
          <w:color w:val="000000"/>
          <w:sz w:val="24"/>
        </w:rPr>
        <w:t> </w:t>
      </w:r>
      <w:r>
        <w:rPr>
          <w:rFonts w:ascii="Times New Roman" w:hAnsi="Times New Roman"/>
          <w:b w:val="false"/>
          <w:i/>
          <w:color w:val="000000"/>
          <w:sz w:val="24"/>
        </w:rPr>
        <w:t xml:space="preserve">IMMT services. </w:t>
      </w:r>
      <w:r>
        <w:rPr>
          <w:rFonts w:ascii="Times New Roman" w:hAnsi="Times New Roman"/>
          <w:b w:val="false"/>
          <w:i w:val="false"/>
          <w:color w:val="000000"/>
          <w:sz w:val="24"/>
        </w:rPr>
        <w:t xml:space="preserve">IMMT services are activities performed pursuant to subrule </w:t>
      </w:r>
      <w:hyperlink r:id="rId328">
        <w:r>
          <w:rPr>
            <w:rStyle w:val="Hyperlink"/>
            <w:rFonts w:ascii="Times New Roman" w:hAnsi="Times New Roman"/>
            <w:b w:val="false"/>
            <w:i w:val="false"/>
            <w:color w:val="000000"/>
            <w:sz w:val="24"/>
          </w:rPr>
          <w:t>78.34(8)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78.43(14)</w:t>
      </w:r>
      <w:r>
        <w:rPr>
          <w:rFonts w:ascii="Times New Roman" w:hAnsi="Times New Roman"/>
          <w:b w:val="false"/>
          <w:i w:val="false"/>
          <w:color w:val="000000"/>
          <w:sz w:val="24"/>
        </w:rPr>
        <w:t> </w:t>
      </w:r>
      <w:r>
        <w:rPr>
          <w:rFonts w:ascii="Times New Roman" w:hAnsi="Times New Roman"/>
          <w:b w:val="false"/>
          <w:i/>
          <w:color w:val="000000"/>
          <w:sz w:val="24"/>
        </w:rPr>
        <w:t xml:space="preserve">CCO. </w:t>
      </w:r>
      <w:r>
        <w:rPr>
          <w:rFonts w:ascii="Times New Roman" w:hAnsi="Times New Roman"/>
          <w:b w:val="false"/>
          <w:i w:val="false"/>
          <w:color w:val="000000"/>
          <w:sz w:val="24"/>
        </w:rPr>
        <w:t xml:space="preserve">The CCO is service activities provided pursuant to subrule </w:t>
      </w:r>
      <w:hyperlink r:id="rId329">
        <w:r>
          <w:rPr>
            <w:rStyle w:val="Hyperlink"/>
            <w:rFonts w:ascii="Times New Roman" w:hAnsi="Times New Roman"/>
            <w:b w:val="false"/>
            <w:i w:val="false"/>
            <w:color w:val="000000"/>
            <w:sz w:val="24"/>
          </w:rPr>
          <w:t>78.34(13)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78.43(15)</w:t>
      </w:r>
      <w:r>
        <w:rPr>
          <w:rFonts w:ascii="Times New Roman" w:hAnsi="Times New Roman"/>
          <w:b w:val="false"/>
          <w:i w:val="false"/>
          <w:color w:val="000000"/>
          <w:sz w:val="24"/>
        </w:rPr>
        <w:t> </w:t>
      </w:r>
      <w:r>
        <w:rPr>
          <w:rFonts w:ascii="Times New Roman" w:hAnsi="Times New Roman"/>
          <w:b w:val="false"/>
          <w:i/>
          <w:color w:val="000000"/>
          <w:sz w:val="24"/>
        </w:rPr>
        <w:t xml:space="preserve">General service standards. </w:t>
      </w:r>
      <w:r>
        <w:rPr>
          <w:rFonts w:ascii="Times New Roman" w:hAnsi="Times New Roman"/>
          <w:b w:val="false"/>
          <w:i w:val="false"/>
          <w:color w:val="000000"/>
          <w:sz w:val="24"/>
        </w:rPr>
        <w:t>All brain injury waiver services must be provided in accordance with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Reimbursement will not be available under the waiver for any services that the member can obtain as other nonwaiver Medicaid services or through any other funding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services provided under the waiver must be delivered in the least restrictive environment possible and in conformity with the member’s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All rights restrictions must be implemented in accordance with </w:t>
      </w:r>
      <w:hyperlink r:id="rId330">
        <w:r>
          <w:rPr>
            <w:rStyle w:val="Hyperlink"/>
            <w:rFonts w:ascii="Times New Roman" w:hAnsi="Times New Roman"/>
            <w:b w:val="false"/>
            <w:i w:val="false"/>
            <w:color w:val="000000"/>
            <w:sz w:val="24"/>
          </w:rPr>
          <w:t>441—subrule 77.30(4)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Services must be billed in whole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For all services with a 15-minute unit of service, the rounding process outlined in paragraph </w:t>
      </w:r>
      <w:hyperlink r:id="rId331">
        <w:r>
          <w:rPr>
            <w:rStyle w:val="Hyperlink"/>
            <w:rFonts w:ascii="Times New Roman" w:hAnsi="Times New Roman"/>
            <w:b w:val="false"/>
            <w:i w:val="false"/>
            <w:color w:val="000000"/>
            <w:sz w:val="24"/>
          </w:rPr>
          <w:t>78.34(14)</w:t>
        </w:r>
      </w:hyperlink>
      <w:r>
        <w:rPr>
          <w:rFonts w:ascii="Times New Roman" w:hAnsi="Times New Roman"/>
          <w:b w:val="false"/>
          <w:i/>
          <w:color w:val="000000"/>
          <w:sz w:val="24"/>
        </w:rPr>
        <w:t>“e”</w:t>
      </w:r>
      <w:r>
        <w:rPr>
          <w:rFonts w:ascii="Times New Roman" w:hAnsi="Times New Roman"/>
          <w:b w:val="false"/>
          <w:i w:val="false"/>
          <w:color w:val="000000"/>
          <w:sz w:val="24"/>
        </w:rPr>
        <w:t xml:space="preserve"> will apply.</w:t>
      </w:r>
    </w:p>
    <w:p>
      <w:pPr>
        <w:spacing w:before="210" w:after="0" w:line="480"/>
        <w:ind w:left="120"/>
        <w:jc w:val="both"/>
      </w:pPr>
      <w:r>
        <w:rPr>
          <w:rFonts w:ascii="Times New Roman" w:hAnsi="Times New Roman"/>
          <w:b/>
          <w:i w:val="false"/>
          <w:color w:val="000000"/>
          <w:sz w:val="24"/>
        </w:rPr>
        <w:t>441—78.44</w:t>
      </w:r>
      <w:r>
        <w:rPr>
          <w:rFonts w:ascii="Times New Roman" w:hAnsi="Times New Roman"/>
          <w:b/>
          <w:i w:val="false"/>
          <w:color w:val="000000"/>
          <w:sz w:val="24"/>
        </w:rPr>
        <w:t xml:space="preserve">(249A) </w:t>
      </w:r>
      <w:r>
        <w:rPr>
          <w:rFonts w:ascii="Times New Roman" w:hAnsi="Times New Roman"/>
          <w:b/>
          <w:i w:val="false"/>
          <w:color w:val="000000"/>
          <w:sz w:val="24"/>
        </w:rPr>
        <w:t xml:space="preserve">Lead inspection services. </w:t>
      </w:r>
      <w:r>
        <w:rPr>
          <w:rFonts w:ascii="Times New Roman" w:hAnsi="Times New Roman"/>
          <w:b w:val="false"/>
          <w:i w:val="false"/>
          <w:color w:val="000000"/>
          <w:sz w:val="24"/>
        </w:rPr>
        <w:t>Payment will be approved for lead inspection services. This service shall be provided for children who have had two venous blood lead levels of 15 to 19 micrograms per deciliter or one venous level greater than or equal to 20 micrograms per deciliter. This service includes, but is not limited to, X-ray fluorescence analyzer (XRF) readings, visual examination of paint, preventive education of the resident and homeowner, health education about lead poisoning, and a written report to the family, homeowner, medical provider, and local childhood lead poisoning prevention program.</w:t>
      </w:r>
    </w:p>
    <w:p>
      <w:pPr>
        <w:spacing w:before="0" w:after="0" w:line="480"/>
        <w:ind w:left="120"/>
        <w:jc w:val="both"/>
      </w:pPr>
      <w:r>
        <w:rPr>
          <w:rFonts w:ascii="Times New Roman" w:hAnsi="Times New Roman"/>
          <w:b/>
          <w:i w:val="false"/>
          <w:color w:val="000000"/>
          <w:sz w:val="24"/>
        </w:rPr>
        <w:t>441—78.45</w:t>
      </w:r>
      <w:r>
        <w:rPr>
          <w:rFonts w:ascii="Times New Roman" w:hAnsi="Times New Roman"/>
          <w:b/>
          <w:i w:val="false"/>
          <w:color w:val="000000"/>
          <w:sz w:val="24"/>
        </w:rPr>
        <w:t xml:space="preserve">(249A) </w:t>
      </w:r>
      <w:r>
        <w:rPr>
          <w:rFonts w:ascii="Times New Roman" w:hAnsi="Times New Roman"/>
          <w:b/>
          <w:i w:val="false"/>
          <w:color w:val="000000"/>
          <w:sz w:val="24"/>
        </w:rPr>
        <w:t xml:space="preserve">Assertive community treatment. </w:t>
      </w:r>
      <w:r>
        <w:rPr>
          <w:rFonts w:ascii="Times New Roman" w:hAnsi="Times New Roman"/>
          <w:b w:val="false"/>
          <w:i w:val="false"/>
          <w:color w:val="000000"/>
          <w:sz w:val="24"/>
        </w:rPr>
        <w:t>Assertive community treatment (ACT) services are comprehensive, integrated, and intensive outpatient services provided by a multidisciplinary team under the supervision of a psychiatrist. ACT services are directed toward the rehabilitation of behavioral, social, or emotional deficits or the amelioration of symptoms of a mental disorder. Most services are delivered in the member’s home or another community setting.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78.45(1)</w:t>
      </w:r>
      <w:r>
        <w:rPr>
          <w:rFonts w:ascii="Times New Roman" w:hAnsi="Times New Roman"/>
          <w:b w:val="false"/>
          <w:i w:val="false"/>
          <w:color w:val="000000"/>
          <w:sz w:val="24"/>
        </w:rPr>
        <w:t> </w:t>
      </w:r>
      <w:r>
        <w:rPr>
          <w:rFonts w:ascii="Times New Roman" w:hAnsi="Times New Roman"/>
          <w:b w:val="false"/>
          <w:i/>
          <w:color w:val="000000"/>
          <w:sz w:val="24"/>
        </w:rPr>
        <w:t xml:space="preserve">Applicability. </w:t>
      </w:r>
      <w:r>
        <w:rPr>
          <w:rFonts w:ascii="Times New Roman" w:hAnsi="Times New Roman"/>
          <w:b w:val="false"/>
          <w:i w:val="false"/>
          <w:color w:val="000000"/>
          <w:sz w:val="24"/>
        </w:rPr>
        <w:t>ACT services may be provided only to a member who meets all of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member is at least 17 years 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member has a severe and persistent mental illness or complex mental health symptomatology. A severe and persistent mental illness is a psychiatric disorder that causes symptoms and impairments in basic mental and behavioral processes that produce distress and major functional disability in adult role functioning (such as social, personal, family, educational or vocational roles). Specifically, the member has a degree of impairment arising from a psychiatric disorder such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member does not have the resources or skills necessary to maintain an adequate level of functioning in the home or community environment without assistance or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member’s judgment, impulse control, or cognitive perceptual abilities are compromised;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member exhibits significant impairment in social, interpersonal, or familial functioning.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member has a validated principal mental health diagnosis consistent with a severe and persistent mental illness. For this purpose, a mental health diagnosis means a disorder, dysfunction, or dysphoria diagnosed pursuant to the DSM, excluding neurodevelopmental disorders, substance-related disorders, personality disorders, medication-induced movement disorders and other adverse effects of medication, and other conditions that may be a focus of clinical attention. Members with a primary diagnosis of substance-related disorder, developmental disability, or organic disorder are not eligible for ACT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member needs a consistent team of professionals and multiple mental health and support services to maintain the member in the community and reduce hospitalizations, as evidenced by: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pattern of repeated treatment failures with at least two hospitalizations within the previous 24 months,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need for multiple or combined mental health and basic living supports to prevent the need for a more intrusive level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member presents a reasonable likelihood that ACT services will lead to specific, observable improvements in the member’s functioning and assist the member in achieving or maintaining community tenure. Specifically,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Is medically stable;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Does not require a level of care that includes more intensive medical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Presents a low risk to self, others, or property, with treatment and support;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Lives independently in the community or demonstrates a capacity to live independently and move from a dependent residential setting to independent living.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At the time of admission, the member has a comprehensive assessment that includes psychiatric history, medical history, work and educational history, substance use, problems with activities of daily living, social interests, and family relationships.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member has a written treatment plan containing a work evaluation and the necessary psychiatric rehabilitation treatment and support services. The plan shall identify: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Treatment objectives and outcomes,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expected frequency and duration of each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location where the services will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crisis plan,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schedule for updates of the treatment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78.45(2)</w:t>
      </w:r>
      <w:r>
        <w:rPr>
          <w:rFonts w:ascii="Times New Roman" w:hAnsi="Times New Roman"/>
          <w:b w:val="false"/>
          <w:i w:val="false"/>
          <w:color w:val="000000"/>
          <w:sz w:val="24"/>
        </w:rPr>
        <w:t> </w:t>
      </w:r>
      <w:r>
        <w:rPr>
          <w:rFonts w:ascii="Times New Roman" w:hAnsi="Times New Roman"/>
          <w:b w:val="false"/>
          <w:i/>
          <w:color w:val="000000"/>
          <w:sz w:val="24"/>
        </w:rPr>
        <w:t xml:space="preserve">Services. </w:t>
      </w:r>
      <w:r>
        <w:rPr>
          <w:rFonts w:ascii="Times New Roman" w:hAnsi="Times New Roman"/>
          <w:b w:val="false"/>
          <w:i w:val="false"/>
          <w:color w:val="000000"/>
          <w:sz w:val="24"/>
        </w:rPr>
        <w:t>The ACT team shall participate in all mental health services provided to the member and shall provide 24-hour service for the psychiatric needs of the member. Available ACT services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Evaluation and medication management.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evaluation portion of ACT services consists of a comprehensive mental health evaluation and assessment of the member by a psychiatrist, ARNP, or PA.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Medication management consists of the prescription and management of medication by a psychiatrist, ARNP, or PA to respond to the member’s complaints and symptoms. A psychiatric registered nurse assists in this management by contact with the member regarding medications and their effect on the member’s complaints and symptoms.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Integrated therapy and counseling for mental health and substance use. </w:t>
      </w:r>
      <w:r>
        <w:rPr>
          <w:rFonts w:ascii="Times New Roman" w:hAnsi="Times New Roman"/>
          <w:b w:val="false"/>
          <w:i w:val="false"/>
          <w:color w:val="000000"/>
          <w:sz w:val="24"/>
        </w:rPr>
        <w:t>This service consists of direct counseling for treatment of mental health and substance use symptoms by a psychiatrist, licensed mental health professional, ARNP, PA, or substance use specialist. Individual counseling is provided by other team members under the supervision of a psychiatrist or licensed mental health practitioner.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Skill teaching. </w:t>
      </w:r>
      <w:r>
        <w:rPr>
          <w:rFonts w:ascii="Times New Roman" w:hAnsi="Times New Roman"/>
          <w:b w:val="false"/>
          <w:i w:val="false"/>
          <w:color w:val="000000"/>
          <w:sz w:val="24"/>
        </w:rPr>
        <w:t>Skill teaching consists of side-by-side demonstration and observation of daily living activities by a registered nurse, licensed mental health professional, psychologist, substance use counselor, peer specialist, community support specialist, ARNP, or PA.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Community support. </w:t>
      </w:r>
      <w:r>
        <w:rPr>
          <w:rFonts w:ascii="Times New Roman" w:hAnsi="Times New Roman"/>
          <w:b w:val="false"/>
          <w:i w:val="false"/>
          <w:color w:val="000000"/>
          <w:sz w:val="24"/>
        </w:rPr>
        <w:t>Community support is provided by a licensed mental health professional, psychologist, substance use counselor, peer specialist, community support specialist, ARNP, or PA. Community support consists of the following activities focused on recovery and rehabilitation: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Personal and home skills training to assist the member to develop and maintain skills for self-direction and coping with the living situation.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Community skills training to assist the member in maintaining a positive level of participation in the community through development of socialization skills and personal coping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Medication monitoring. </w:t>
      </w:r>
      <w:r>
        <w:rPr>
          <w:rFonts w:ascii="Times New Roman" w:hAnsi="Times New Roman"/>
          <w:b w:val="false"/>
          <w:i w:val="false"/>
          <w:color w:val="000000"/>
          <w:sz w:val="24"/>
        </w:rPr>
        <w:t>Medication monitoring services are provided by a psychiatric nurse and other team members under the supervision of a psychiatrist or psychiatric nurse and consist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Monitoring the member’s day-to-day functioning, medication compliance, and access to medications;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Ensuring that the member keeps appointments.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Case management for treatment and service plan coordination. </w:t>
      </w:r>
      <w:r>
        <w:rPr>
          <w:rFonts w:ascii="Times New Roman" w:hAnsi="Times New Roman"/>
          <w:b w:val="false"/>
          <w:i w:val="false"/>
          <w:color w:val="000000"/>
          <w:sz w:val="24"/>
        </w:rPr>
        <w:t>Case management consists of the development by the ACT team of an individualized treatment and service plan, including personalized goals and outcomes, to address the member’s medical symptoms and remedial functional impairments.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Case management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Assessments, referrals, follow-up, and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Assisting the member in gaining access to necessary medical, social, educational, and other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Assessing the member to determine service needs by collecting relevant historical information through member records and other information from relevant professionals and natural supports.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team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Develop a specific care plan based on the assessment of needs, including goals and actions to address the needed medical, social, educational, and other necessary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Make referrals to services and related activities to assist the member with the assessed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Monitor and perform follow-up activities necessary to ensure that the plan is carried out and that the member has access to necessary services. Activities may include monitoring contacts with providers, family members, natural supports, and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Hold daily team meetings to facilitate ACT services and coordinate the member’s care with other members of the team.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Crisis response. </w:t>
      </w:r>
      <w:r>
        <w:rPr>
          <w:rFonts w:ascii="Times New Roman" w:hAnsi="Times New Roman"/>
          <w:b w:val="false"/>
          <w:i w:val="false"/>
          <w:color w:val="000000"/>
          <w:sz w:val="24"/>
        </w:rPr>
        <w:t>Crisis response consists of direct assessment and treatment of the member’s urgent or crisis symptoms in the community by a registered nurse, licensed mental health professional, psychologist, substance use counselor, community support specialist, case manager, ARNP, or PA, as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Work-related services. </w:t>
      </w:r>
      <w:r>
        <w:rPr>
          <w:rFonts w:ascii="Times New Roman" w:hAnsi="Times New Roman"/>
          <w:b w:val="false"/>
          <w:i w:val="false"/>
          <w:color w:val="000000"/>
          <w:sz w:val="24"/>
        </w:rPr>
        <w:t>Work-related services may be provided by a registered nurse, licensed mental health professional, psychologist, substance use counselor, community support specialist, case manager, ARNP, or PA. Services consist of assisting the member in managing mental health symptoms as they relate to job performance. Services may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Collaborating with the member to look for job situations that may cause symptoms to increase and creating strategies to manage these situations.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Assisting the member to develop or enhance skills to obtain a work placement, such as individual work-related behavioral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Providing supports to maintain employment, such as crisis intervention related to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Teaching communication, problem solving, and safety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Teaching personal skills such as time management and appropriate grooming for employment.</w:t>
      </w:r>
    </w:p>
    <w:p>
      <w:pPr>
        <w:spacing w:before="0" w:after="0" w:line="480"/>
        <w:ind w:left="120"/>
        <w:jc w:val="both"/>
      </w:pPr>
      <w:r>
        <w:rPr>
          <w:rFonts w:ascii="Times New Roman" w:hAnsi="Times New Roman"/>
          <w:b/>
          <w:i w:val="false"/>
          <w:color w:val="000000"/>
          <w:sz w:val="24"/>
        </w:rPr>
        <w:t>441—78.46</w:t>
      </w:r>
      <w:r>
        <w:rPr>
          <w:rFonts w:ascii="Times New Roman" w:hAnsi="Times New Roman"/>
          <w:b/>
          <w:i w:val="false"/>
          <w:color w:val="000000"/>
          <w:sz w:val="24"/>
        </w:rPr>
        <w:t xml:space="preserve">(249A) </w:t>
      </w:r>
      <w:r>
        <w:rPr>
          <w:rFonts w:ascii="Times New Roman" w:hAnsi="Times New Roman"/>
          <w:b/>
          <w:i w:val="false"/>
          <w:color w:val="000000"/>
          <w:sz w:val="24"/>
        </w:rPr>
        <w:t xml:space="preserve">Physical disability waiver service. </w:t>
      </w:r>
      <w:r>
        <w:rPr>
          <w:rFonts w:ascii="Times New Roman" w:hAnsi="Times New Roman"/>
          <w:b w:val="false"/>
          <w:i w:val="false"/>
          <w:color w:val="000000"/>
          <w:sz w:val="24"/>
        </w:rPr>
        <w:t xml:space="preserve">Payment will be approved for the following services to members eligible for the HCBS physical disability waiver as established in </w:t>
      </w:r>
      <w:hyperlink r:id="rId332">
        <w:r>
          <w:rPr>
            <w:rStyle w:val="Hyperlink"/>
            <w:rFonts w:ascii="Times New Roman" w:hAnsi="Times New Roman"/>
            <w:b w:val="false"/>
            <w:i w:val="false"/>
            <w:color w:val="000000"/>
            <w:sz w:val="24"/>
          </w:rPr>
          <w:t>441—Chapter 83</w:t>
        </w:r>
      </w:hyperlink>
      <w:r>
        <w:rPr>
          <w:rFonts w:ascii="Times New Roman" w:hAnsi="Times New Roman"/>
          <w:b w:val="false"/>
          <w:i w:val="false"/>
          <w:color w:val="000000"/>
          <w:sz w:val="24"/>
        </w:rPr>
        <w:t xml:space="preserve"> and as identified in the member’s service plan. Payment will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78.46(1)</w:t>
      </w:r>
      <w:r>
        <w:rPr>
          <w:rFonts w:ascii="Times New Roman" w:hAnsi="Times New Roman"/>
          <w:b w:val="false"/>
          <w:i w:val="false"/>
          <w:color w:val="000000"/>
          <w:sz w:val="24"/>
        </w:rPr>
        <w:t> </w:t>
      </w:r>
      <w:r>
        <w:rPr>
          <w:rFonts w:ascii="Times New Roman" w:hAnsi="Times New Roman"/>
          <w:b w:val="false"/>
          <w:i/>
          <w:color w:val="000000"/>
          <w:sz w:val="24"/>
        </w:rPr>
        <w:t xml:space="preserve">Attendant care service. </w:t>
      </w:r>
      <w:r>
        <w:rPr>
          <w:rFonts w:ascii="Times New Roman" w:hAnsi="Times New Roman"/>
          <w:b w:val="false"/>
          <w:i w:val="false"/>
          <w:color w:val="000000"/>
          <w:sz w:val="24"/>
        </w:rPr>
        <w:t xml:space="preserve">Attendant care services are service activities performed pursuant to subrule </w:t>
      </w:r>
      <w:hyperlink r:id="rId333">
        <w:r>
          <w:rPr>
            <w:rStyle w:val="Hyperlink"/>
            <w:rFonts w:ascii="Times New Roman" w:hAnsi="Times New Roman"/>
            <w:b w:val="false"/>
            <w:i w:val="false"/>
            <w:color w:val="000000"/>
            <w:sz w:val="24"/>
          </w:rPr>
          <w:t>78.34(7)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78.46(2)</w:t>
      </w:r>
      <w:r>
        <w:rPr>
          <w:rFonts w:ascii="Times New Roman" w:hAnsi="Times New Roman"/>
          <w:b w:val="false"/>
          <w:i w:val="false"/>
          <w:color w:val="000000"/>
          <w:sz w:val="24"/>
        </w:rPr>
        <w:t> </w:t>
      </w:r>
      <w:r>
        <w:rPr>
          <w:rFonts w:ascii="Times New Roman" w:hAnsi="Times New Roman"/>
          <w:b w:val="false"/>
          <w:i/>
          <w:color w:val="000000"/>
          <w:sz w:val="24"/>
        </w:rPr>
        <w:t xml:space="preserve">Home and vehicle modification. </w:t>
      </w:r>
      <w:r>
        <w:rPr>
          <w:rFonts w:ascii="Times New Roman" w:hAnsi="Times New Roman"/>
          <w:b w:val="false"/>
          <w:i w:val="false"/>
          <w:color w:val="000000"/>
          <w:sz w:val="24"/>
        </w:rPr>
        <w:t xml:space="preserve">Covered home or vehicle modifications are activities provided pursuant to subrule </w:t>
      </w:r>
      <w:hyperlink r:id="rId334">
        <w:r>
          <w:rPr>
            <w:rStyle w:val="Hyperlink"/>
            <w:rFonts w:ascii="Times New Roman" w:hAnsi="Times New Roman"/>
            <w:b w:val="false"/>
            <w:i w:val="false"/>
            <w:color w:val="000000"/>
            <w:sz w:val="24"/>
          </w:rPr>
          <w:t>78.34(9)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78.46(3)</w:t>
      </w:r>
      <w:r>
        <w:rPr>
          <w:rFonts w:ascii="Times New Roman" w:hAnsi="Times New Roman"/>
          <w:b w:val="false"/>
          <w:i w:val="false"/>
          <w:color w:val="000000"/>
          <w:sz w:val="24"/>
        </w:rPr>
        <w:t> </w:t>
      </w:r>
      <w:r>
        <w:rPr>
          <w:rFonts w:ascii="Times New Roman" w:hAnsi="Times New Roman"/>
          <w:b w:val="false"/>
          <w:i/>
          <w:color w:val="000000"/>
          <w:sz w:val="24"/>
        </w:rPr>
        <w:t xml:space="preserve">Personal emergency response or portable locator system. </w:t>
      </w:r>
      <w:r>
        <w:rPr>
          <w:rFonts w:ascii="Times New Roman" w:hAnsi="Times New Roman"/>
          <w:b w:val="false"/>
          <w:i w:val="false"/>
          <w:color w:val="000000"/>
          <w:sz w:val="24"/>
        </w:rPr>
        <w:t xml:space="preserve">A personal emergency response or portable locator are services provided pursuant to subrule </w:t>
      </w:r>
      <w:hyperlink r:id="rId335">
        <w:r>
          <w:rPr>
            <w:rStyle w:val="Hyperlink"/>
            <w:rFonts w:ascii="Times New Roman" w:hAnsi="Times New Roman"/>
            <w:b w:val="false"/>
            <w:i w:val="false"/>
            <w:color w:val="000000"/>
            <w:sz w:val="24"/>
          </w:rPr>
          <w:t>78.34(10)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78.46(4)</w:t>
      </w:r>
      <w:r>
        <w:rPr>
          <w:rFonts w:ascii="Times New Roman" w:hAnsi="Times New Roman"/>
          <w:b w:val="false"/>
          <w:i w:val="false"/>
          <w:color w:val="000000"/>
          <w:sz w:val="24"/>
        </w:rPr>
        <w:t> </w:t>
      </w:r>
      <w:r>
        <w:rPr>
          <w:rFonts w:ascii="Times New Roman" w:hAnsi="Times New Roman"/>
          <w:b w:val="false"/>
          <w:i/>
          <w:color w:val="000000"/>
          <w:sz w:val="24"/>
        </w:rPr>
        <w:t xml:space="preserve">Specialized medical equipment. </w:t>
      </w:r>
      <w:r>
        <w:rPr>
          <w:rFonts w:ascii="Times New Roman" w:hAnsi="Times New Roman"/>
          <w:b w:val="false"/>
          <w:i w:val="false"/>
          <w:color w:val="000000"/>
          <w:sz w:val="24"/>
        </w:rPr>
        <w:t xml:space="preserve">Specialized medical equipment are provided pursuant to subrule </w:t>
      </w:r>
      <w:hyperlink r:id="rId336">
        <w:r>
          <w:rPr>
            <w:rStyle w:val="Hyperlink"/>
            <w:rFonts w:ascii="Times New Roman" w:hAnsi="Times New Roman"/>
            <w:b w:val="false"/>
            <w:i w:val="false"/>
            <w:color w:val="000000"/>
            <w:sz w:val="24"/>
          </w:rPr>
          <w:t>78.43(8)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78.46(5)</w:t>
      </w:r>
      <w:r>
        <w:rPr>
          <w:rFonts w:ascii="Times New Roman" w:hAnsi="Times New Roman"/>
          <w:b w:val="false"/>
          <w:i w:val="false"/>
          <w:color w:val="000000"/>
          <w:sz w:val="24"/>
        </w:rPr>
        <w:t> </w:t>
      </w:r>
      <w:r>
        <w:rPr>
          <w:rFonts w:ascii="Times New Roman" w:hAnsi="Times New Roman"/>
          <w:b w:val="false"/>
          <w:i/>
          <w:color w:val="000000"/>
          <w:sz w:val="24"/>
        </w:rPr>
        <w:t xml:space="preserve">Transportation. </w:t>
      </w:r>
      <w:r>
        <w:rPr>
          <w:rFonts w:ascii="Times New Roman" w:hAnsi="Times New Roman"/>
          <w:b w:val="false"/>
          <w:i w:val="false"/>
          <w:color w:val="000000"/>
          <w:sz w:val="24"/>
        </w:rPr>
        <w:t>Transportation services may be provided for members to conduct business errands and essential shopping, to travel to and from work or day programs, and to reduce social isolation. A unit of service is one mile of transportation or one one-way trip.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78.46(6)</w:t>
      </w:r>
      <w:r>
        <w:rPr>
          <w:rFonts w:ascii="Times New Roman" w:hAnsi="Times New Roman"/>
          <w:b w:val="false"/>
          <w:i w:val="false"/>
          <w:color w:val="000000"/>
          <w:sz w:val="24"/>
        </w:rPr>
        <w:t> </w:t>
      </w:r>
      <w:r>
        <w:rPr>
          <w:rFonts w:ascii="Times New Roman" w:hAnsi="Times New Roman"/>
          <w:b w:val="false"/>
          <w:i/>
          <w:color w:val="000000"/>
          <w:sz w:val="24"/>
        </w:rPr>
        <w:t xml:space="preserve">CCO. </w:t>
      </w:r>
      <w:r>
        <w:rPr>
          <w:rFonts w:ascii="Times New Roman" w:hAnsi="Times New Roman"/>
          <w:b w:val="false"/>
          <w:i w:val="false"/>
          <w:color w:val="000000"/>
          <w:sz w:val="24"/>
        </w:rPr>
        <w:t xml:space="preserve">The CCO is service activities provided pursuant to subrule </w:t>
      </w:r>
      <w:hyperlink r:id="rId337">
        <w:r>
          <w:rPr>
            <w:rStyle w:val="Hyperlink"/>
            <w:rFonts w:ascii="Times New Roman" w:hAnsi="Times New Roman"/>
            <w:b w:val="false"/>
            <w:i w:val="false"/>
            <w:color w:val="000000"/>
            <w:sz w:val="24"/>
          </w:rPr>
          <w:t>78.34(13)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78.46(7)</w:t>
      </w:r>
      <w:r>
        <w:rPr>
          <w:rFonts w:ascii="Times New Roman" w:hAnsi="Times New Roman"/>
          <w:b w:val="false"/>
          <w:i w:val="false"/>
          <w:color w:val="000000"/>
          <w:sz w:val="24"/>
        </w:rPr>
        <w:t> </w:t>
      </w:r>
      <w:r>
        <w:rPr>
          <w:rFonts w:ascii="Times New Roman" w:hAnsi="Times New Roman"/>
          <w:b w:val="false"/>
          <w:i/>
          <w:color w:val="000000"/>
          <w:sz w:val="24"/>
        </w:rPr>
        <w:t xml:space="preserve">General service standards. </w:t>
      </w:r>
      <w:r>
        <w:rPr>
          <w:rFonts w:ascii="Times New Roman" w:hAnsi="Times New Roman"/>
          <w:b w:val="false"/>
          <w:i w:val="false"/>
          <w:color w:val="000000"/>
          <w:sz w:val="24"/>
        </w:rPr>
        <w:t>All physical disability waiver services must be provided in accordance with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Reimbursement will not be available under the waiver for any services that the member can obtain as other nonwaiver Medicaid services or through any other funding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services provided under the waiver must be delivered in the least restrictive environment possible and in conformity with the member’s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All rights restrictions must be implemented in accordance with </w:t>
      </w:r>
      <w:hyperlink r:id="rId338">
        <w:r>
          <w:rPr>
            <w:rStyle w:val="Hyperlink"/>
            <w:rFonts w:ascii="Times New Roman" w:hAnsi="Times New Roman"/>
            <w:b w:val="false"/>
            <w:i w:val="false"/>
            <w:color w:val="000000"/>
            <w:sz w:val="24"/>
          </w:rPr>
          <w:t>441—subrule 77.30(4)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Services must be billed in whole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For all services with a 15-minute unit of service, the rounding process outlined in paragraph </w:t>
      </w:r>
      <w:hyperlink r:id="rId339">
        <w:r>
          <w:rPr>
            <w:rStyle w:val="Hyperlink"/>
            <w:rFonts w:ascii="Times New Roman" w:hAnsi="Times New Roman"/>
            <w:b w:val="false"/>
            <w:i w:val="false"/>
            <w:color w:val="000000"/>
            <w:sz w:val="24"/>
          </w:rPr>
          <w:t>78.34(14)</w:t>
        </w:r>
      </w:hyperlink>
      <w:r>
        <w:rPr>
          <w:rFonts w:ascii="Times New Roman" w:hAnsi="Times New Roman"/>
          <w:b w:val="false"/>
          <w:i/>
          <w:color w:val="000000"/>
          <w:sz w:val="24"/>
        </w:rPr>
        <w:t>“e”</w:t>
      </w:r>
      <w:r>
        <w:rPr>
          <w:rFonts w:ascii="Times New Roman" w:hAnsi="Times New Roman"/>
          <w:b w:val="false"/>
          <w:i w:val="false"/>
          <w:color w:val="000000"/>
          <w:sz w:val="24"/>
        </w:rPr>
        <w:t xml:space="preserve"> will apply.</w:t>
      </w:r>
    </w:p>
    <w:p>
      <w:pPr>
        <w:spacing w:before="0" w:after="0" w:line="480"/>
        <w:ind w:left="120"/>
        <w:jc w:val="both"/>
      </w:pPr>
      <w:r>
        <w:rPr>
          <w:rFonts w:ascii="Times New Roman" w:hAnsi="Times New Roman"/>
          <w:b/>
          <w:i w:val="false"/>
          <w:color w:val="000000"/>
          <w:sz w:val="24"/>
        </w:rPr>
        <w:t>441—78.47</w:t>
      </w:r>
      <w:r>
        <w:rPr>
          <w:rFonts w:ascii="Times New Roman" w:hAnsi="Times New Roman"/>
          <w:b/>
          <w:i w:val="false"/>
          <w:color w:val="000000"/>
          <w:sz w:val="24"/>
        </w:rPr>
        <w:t xml:space="preserve">(249A) </w:t>
      </w:r>
      <w:r>
        <w:rPr>
          <w:rFonts w:ascii="Times New Roman" w:hAnsi="Times New Roman"/>
          <w:b/>
          <w:i w:val="false"/>
          <w:color w:val="000000"/>
          <w:sz w:val="24"/>
        </w:rPr>
        <w:t xml:space="preserve">Pharmaceutical case management services. </w:t>
      </w:r>
      <w:r>
        <w:rPr>
          <w:rFonts w:ascii="Times New Roman" w:hAnsi="Times New Roman"/>
          <w:b w:val="false"/>
          <w:i w:val="false"/>
          <w:color w:val="000000"/>
          <w:sz w:val="24"/>
        </w:rPr>
        <w:t>Payment will be approved for pharmaceutical case management services provided by an eligible physician and pharmacist for Medicaid recipients determined to be at high risk for medication-related problems. These services are designed to identify, prevent, and resolve medication-related problems and improve drug therapy outcomes.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78.47(1)</w:t>
      </w:r>
      <w:r>
        <w:rPr>
          <w:rFonts w:ascii="Times New Roman" w:hAnsi="Times New Roman"/>
          <w:b w:val="false"/>
          <w:i w:val="false"/>
          <w:color w:val="000000"/>
          <w:sz w:val="24"/>
        </w:rPr>
        <w:t> </w:t>
      </w:r>
      <w:r>
        <w:rPr>
          <w:rFonts w:ascii="Times New Roman" w:hAnsi="Times New Roman"/>
          <w:b w:val="false"/>
          <w:i/>
          <w:color w:val="000000"/>
          <w:sz w:val="24"/>
        </w:rPr>
        <w:t xml:space="preserve">Medicaid recipient eligibility. </w:t>
      </w:r>
      <w:r>
        <w:rPr>
          <w:rFonts w:ascii="Times New Roman" w:hAnsi="Times New Roman"/>
          <w:b w:val="false"/>
          <w:i w:val="false"/>
          <w:color w:val="000000"/>
          <w:sz w:val="24"/>
        </w:rPr>
        <w:t>Patients are eligible for pharmaceutical case management services if they have active prescriptions for four or more regularly scheduled nontopical medications, are ambulatory, do not reside in a nursing facility, and have at least one of the eligible disease states of congestive heart disease, ischemic heart disease, diabetes mellitus, hypertension, hyperlipidemia, asthma, depression, atrial fibrillation, osteoarthritis, gastroesophageal reflux, or chronic obstructive pulmonary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78.47(2)</w:t>
      </w:r>
      <w:r>
        <w:rPr>
          <w:rFonts w:ascii="Times New Roman" w:hAnsi="Times New Roman"/>
          <w:b w:val="false"/>
          <w:i w:val="false"/>
          <w:color w:val="000000"/>
          <w:sz w:val="24"/>
        </w:rPr>
        <w:t> </w:t>
      </w:r>
      <w:r>
        <w:rPr>
          <w:rFonts w:ascii="Times New Roman" w:hAnsi="Times New Roman"/>
          <w:b w:val="false"/>
          <w:i/>
          <w:color w:val="000000"/>
          <w:sz w:val="24"/>
        </w:rPr>
        <w:t xml:space="preserve">Provider eligibility. </w:t>
      </w:r>
      <w:r>
        <w:rPr>
          <w:rFonts w:ascii="Times New Roman" w:hAnsi="Times New Roman"/>
          <w:b w:val="false"/>
          <w:i w:val="false"/>
          <w:color w:val="000000"/>
          <w:sz w:val="24"/>
        </w:rPr>
        <w:t>Physicians and pharmacists shall meet the following criteria to provide pharmaceutical case management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Physicians and pharmacists must be enrolled in the Iowa Medicaid program, have an Iowa Medicaid provider number, and receive training under the direction of the department regarding the provision of pharmaceutical case management services under the Iowa Medicaid program.</w:t>
      </w:r>
    </w:p>
    <w:p>
      <w:pPr>
        <w:spacing w:before="0" w:after="0" w:line="480"/>
        <w:ind w:left="120"/>
        <w:jc w:val="both"/>
      </w:pPr>
      <w:r>
        <w:rPr>
          <w:rFonts w:ascii="Times New Roman" w:hAnsi="Times New Roman"/>
          <w:b w:val="false"/>
          <w:i w:val="false"/>
          <w:color w:val="000000"/>
          <w:sz w:val="24"/>
        </w:rPr>
        <w:t>A copy of pharmaceutical case management records, including documentation of services provided, shall be maintained on file in each provider’s facility and be made available for audit by the department 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Physicians shall be licensed to practice medicine.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Pharmacists shall present to the department evidence of competency including state licensure, submit five acceptable patient care plans, and have successfully completed professional training on patient-oriented, medication-related problem prevention and resolution. Pharmacists shall also maintain problem-oriented patient records, provide a private patient consultation area, and submit a statement indicating that the submitted patient care plans are representative of the pharmacists’ usual patient care plans.</w:t>
      </w:r>
    </w:p>
    <w:p>
      <w:pPr>
        <w:spacing w:before="0" w:after="0" w:line="480"/>
        <w:ind w:left="120"/>
        <w:jc w:val="both"/>
      </w:pPr>
      <w:r>
        <w:rPr>
          <w:rFonts w:ascii="Times New Roman" w:hAnsi="Times New Roman"/>
          <w:b w:val="false"/>
          <w:i w:val="false"/>
          <w:color w:val="000000"/>
          <w:sz w:val="24"/>
        </w:rPr>
        <w:t>Acceptable professional training programs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doctor of pharmacy degree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Iowa Center for Pharmaceutical Care (ICPC) training program, which is a cooperative training initiative of the University of Iowa College of Pharmacy, Drake University College of Pharmacy and Health Sciences, and the Iowa Pharmacy Foundation.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Other programs containing similar coursework and supplemental practice site evaluation and reengineering, approved by the department with input from a peer review advisory committee.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78.47(3)</w:t>
      </w:r>
      <w:r>
        <w:rPr>
          <w:rFonts w:ascii="Times New Roman" w:hAnsi="Times New Roman"/>
          <w:b w:val="false"/>
          <w:i w:val="false"/>
          <w:color w:val="000000"/>
          <w:sz w:val="24"/>
        </w:rPr>
        <w:t> </w:t>
      </w:r>
      <w:r>
        <w:rPr>
          <w:rFonts w:ascii="Times New Roman" w:hAnsi="Times New Roman"/>
          <w:b w:val="false"/>
          <w:i/>
          <w:color w:val="000000"/>
          <w:sz w:val="24"/>
        </w:rPr>
        <w:t xml:space="preserve">Services. </w:t>
      </w:r>
      <w:r>
        <w:rPr>
          <w:rFonts w:ascii="Times New Roman" w:hAnsi="Times New Roman"/>
          <w:b w:val="false"/>
          <w:i w:val="false"/>
          <w:color w:val="000000"/>
          <w:sz w:val="24"/>
        </w:rPr>
        <w:t>Eligible patients may choose whether to receive the services. If patients elect to receive the services, they must receive the services from any eligible physician and pharmacist acting as a pharmaceutical case management (PCM) team. Usually the eligible physician and pharmacist will be the patient’s primary physician and pharmacist. Pharmaceutical case management services are to be value-added services complementary to the basic medical services provided by the primary physician and pharmacist.</w:t>
      </w:r>
    </w:p>
    <w:p>
      <w:pPr>
        <w:spacing w:before="0" w:after="0" w:line="480"/>
        <w:ind w:left="120"/>
        <w:jc w:val="both"/>
      </w:pPr>
      <w:r>
        <w:rPr>
          <w:rFonts w:ascii="Times New Roman" w:hAnsi="Times New Roman"/>
          <w:b w:val="false"/>
          <w:i w:val="false"/>
          <w:color w:val="000000"/>
          <w:sz w:val="24"/>
        </w:rPr>
        <w:t>The PCM team shall provide the following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Initial assessment. </w:t>
      </w:r>
      <w:r>
        <w:rPr>
          <w:rFonts w:ascii="Times New Roman" w:hAnsi="Times New Roman"/>
          <w:b w:val="false"/>
          <w:i w:val="false"/>
          <w:color w:val="000000"/>
          <w:sz w:val="24"/>
        </w:rPr>
        <w:t>The initial assessment shall consist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 patient evaluation by the pharmacist, including: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Medication history;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Assessment of indications, effectiveness, safety, and compliance of medication 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Assessment for the presence of untreated illness;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Identification of medication-related problems such as unnecessary medication therapy, suboptimal medication selection, inappropriate compliance, adverse drug reactions, and need for additional medication 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written report and recommendation from the pharmacist to the physician.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patient care action plan developed by the PCM team with the patient’s agreement and implemented by the PCM team. Specific components of the action plan will vary based on patient needs and conditions but may include changes in medication regimen, focused patient or caregiver education, periodic assessment for changes in the patient’s condition, periodic monitoring of the effectiveness of medication therapy, self-management training, provision of patient-specific educational and informational materials, compliance enhancement, and reinforcement of healthy lifestyles. An action plan must be completed for each initial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New problem assessments. </w:t>
      </w:r>
      <w:r>
        <w:rPr>
          <w:rFonts w:ascii="Times New Roman" w:hAnsi="Times New Roman"/>
          <w:b w:val="false"/>
          <w:i w:val="false"/>
          <w:color w:val="000000"/>
          <w:sz w:val="24"/>
        </w:rPr>
        <w:t>These assessments are initiated when a new medication-related problem is identified. The action plan is modified and new components are implemented to address the new problem. This assessment may occur in the interim between scheduled follow-up assessments.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Problem follow-up assessments. </w:t>
      </w:r>
      <w:r>
        <w:rPr>
          <w:rFonts w:ascii="Times New Roman" w:hAnsi="Times New Roman"/>
          <w:b w:val="false"/>
          <w:i w:val="false"/>
          <w:color w:val="000000"/>
          <w:sz w:val="24"/>
        </w:rPr>
        <w:t>These assessments are based on patient need and a problem identified by a prior assessment. The patient’s status is evaluated at an appropriate interval. The effectiveness of the implemented action plan is determined and modifications are made as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Preventive follow-up assessments. </w:t>
      </w:r>
      <w:r>
        <w:rPr>
          <w:rFonts w:ascii="Times New Roman" w:hAnsi="Times New Roman"/>
          <w:b w:val="false"/>
          <w:i w:val="false"/>
          <w:color w:val="000000"/>
          <w:sz w:val="24"/>
        </w:rPr>
        <w:t>These assessments occur approximately every six months when no current medication-related problems have been identified in prior assessments. The patient is reassessed for newly developed medication-related problems and the action plan is reviewed.</w:t>
      </w:r>
    </w:p>
    <w:p>
      <w:pPr>
        <w:spacing w:before="210" w:after="0" w:line="480"/>
        <w:ind w:left="120"/>
        <w:jc w:val="both"/>
      </w:pPr>
      <w:r>
        <w:rPr>
          <w:rFonts w:ascii="Times New Roman" w:hAnsi="Times New Roman"/>
          <w:b/>
          <w:i w:val="false"/>
          <w:color w:val="000000"/>
          <w:sz w:val="24"/>
        </w:rPr>
        <w:t>441—78.48</w:t>
      </w:r>
      <w:r>
        <w:rPr>
          <w:rFonts w:ascii="Times New Roman" w:hAnsi="Times New Roman"/>
          <w:b/>
          <w:i w:val="false"/>
          <w:color w:val="000000"/>
          <w:sz w:val="24"/>
        </w:rPr>
        <w:t xml:space="preserve">(249A) </w:t>
      </w:r>
      <w:r>
        <w:rPr>
          <w:rFonts w:ascii="Times New Roman" w:hAnsi="Times New Roman"/>
          <w:b/>
          <w:i w:val="false"/>
          <w:color w:val="000000"/>
          <w:sz w:val="24"/>
        </w:rPr>
        <w:t xml:space="preserve">Public health agencies. </w:t>
      </w:r>
      <w:r>
        <w:rPr>
          <w:rFonts w:ascii="Times New Roman" w:hAnsi="Times New Roman"/>
          <w:b w:val="false"/>
          <w:i w:val="false"/>
          <w:color w:val="000000"/>
          <w:sz w:val="24"/>
        </w:rPr>
        <w:t>Payments will be made to local public health agencies on a fee schedule basis for providing vaccine and vaccine administration and testing for communicable disease. In order to be paid for the administration of a vaccine covered under the VFC program, a public health agency must enroll in the VFC program. Payment for the vaccine will be approved only if the VFC program stock has been depleted.</w:t>
      </w:r>
    </w:p>
    <w:p>
      <w:pPr>
        <w:spacing w:before="0" w:after="0" w:line="480"/>
        <w:ind w:left="120"/>
        <w:jc w:val="both"/>
      </w:pPr>
      <w:r>
        <w:rPr>
          <w:rFonts w:ascii="Times New Roman" w:hAnsi="Times New Roman"/>
          <w:b/>
          <w:i w:val="false"/>
          <w:color w:val="000000"/>
          <w:sz w:val="24"/>
        </w:rPr>
        <w:t>441—78.49</w:t>
      </w:r>
      <w:r>
        <w:rPr>
          <w:rFonts w:ascii="Times New Roman" w:hAnsi="Times New Roman"/>
          <w:b/>
          <w:i w:val="false"/>
          <w:color w:val="000000"/>
          <w:sz w:val="24"/>
        </w:rPr>
        <w:t xml:space="preserve">(249A) </w:t>
      </w:r>
      <w:r>
        <w:rPr>
          <w:rFonts w:ascii="Times New Roman" w:hAnsi="Times New Roman"/>
          <w:b/>
          <w:i w:val="false"/>
          <w:color w:val="000000"/>
          <w:sz w:val="24"/>
        </w:rPr>
        <w:t xml:space="preserve">Infant and toddler program services. </w:t>
      </w:r>
      <w:r>
        <w:rPr>
          <w:rFonts w:ascii="Times New Roman" w:hAnsi="Times New Roman"/>
          <w:b w:val="false"/>
          <w:i w:val="false"/>
          <w:color w:val="000000"/>
          <w:sz w:val="24"/>
        </w:rPr>
        <w:t>Subject to the following subrules, payment will be made for medical services provided to Medicaid eligible children by infant and toddler program providers under the infants and toddlers with disabilities program administered by the department, Iowa Child Health Specialty Clinics, and the department of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78.49(1)</w:t>
      </w:r>
      <w:r>
        <w:rPr>
          <w:rFonts w:ascii="Times New Roman" w:hAnsi="Times New Roman"/>
          <w:b w:val="false"/>
          <w:i w:val="false"/>
          <w:color w:val="000000"/>
          <w:sz w:val="24"/>
        </w:rPr>
        <w:t> </w:t>
      </w:r>
      <w:r>
        <w:rPr>
          <w:rFonts w:ascii="Times New Roman" w:hAnsi="Times New Roman"/>
          <w:b w:val="false"/>
          <w:i/>
          <w:color w:val="000000"/>
          <w:sz w:val="24"/>
        </w:rPr>
        <w:t xml:space="preserve">Covered services. </w:t>
      </w:r>
      <w:r>
        <w:rPr>
          <w:rFonts w:ascii="Times New Roman" w:hAnsi="Times New Roman"/>
          <w:b w:val="false"/>
          <w:i w:val="false"/>
          <w:color w:val="000000"/>
          <w:sz w:val="24"/>
        </w:rPr>
        <w:t>Covered services include but are not limited to audiology, psychological evaluation and counseling, health and nursing services, nutrition services, occupational therapy services, physical therapy services, developmental services, speech-language services, vision services, case management, and medical transportation.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78.49(2)</w:t>
      </w:r>
      <w:r>
        <w:rPr>
          <w:rFonts w:ascii="Times New Roman" w:hAnsi="Times New Roman"/>
          <w:b w:val="false"/>
          <w:i w:val="false"/>
          <w:color w:val="000000"/>
          <w:sz w:val="24"/>
        </w:rPr>
        <w:t> </w:t>
      </w:r>
      <w:r>
        <w:rPr>
          <w:rFonts w:ascii="Times New Roman" w:hAnsi="Times New Roman"/>
          <w:b w:val="false"/>
          <w:i/>
          <w:color w:val="000000"/>
          <w:sz w:val="24"/>
        </w:rPr>
        <w:t xml:space="preserve">Case management services. </w:t>
      </w:r>
      <w:r>
        <w:rPr>
          <w:rFonts w:ascii="Times New Roman" w:hAnsi="Times New Roman"/>
          <w:b w:val="false"/>
          <w:i w:val="false"/>
          <w:color w:val="000000"/>
          <w:sz w:val="24"/>
        </w:rPr>
        <w:t>Payment will also be approved for infant and toddler case management services subject to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Definition. </w:t>
      </w:r>
      <w:r>
        <w:rPr>
          <w:rFonts w:ascii="Times New Roman" w:hAnsi="Times New Roman"/>
          <w:b w:val="false"/>
          <w:i w:val="false"/>
          <w:color w:val="000000"/>
          <w:sz w:val="24"/>
        </w:rPr>
        <w:t>“Case management” means services that will assist eligible children in gaining access to needed medical, social, educational, and other services. Case management is intended to address the complexities of coordinated service delivery for children with medical needs. The case manager should be the focus for coordinating and overseeing the effectiveness of all providers and programs in responding to the assessed need. Case management does not include the direct delivery of an underlying medical, educational, social, or other service to which an eligible child has been referred or any activities that are an integral part or an extension of the direct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Choice of provider. </w:t>
      </w:r>
      <w:r>
        <w:rPr>
          <w:rFonts w:ascii="Times New Roman" w:hAnsi="Times New Roman"/>
          <w:b w:val="false"/>
          <w:i w:val="false"/>
          <w:color w:val="000000"/>
          <w:sz w:val="24"/>
        </w:rPr>
        <w:t xml:space="preserve">Children who also are eligible to receive targeted case management services under </w:t>
      </w:r>
      <w:hyperlink r:id="rId340">
        <w:r>
          <w:rPr>
            <w:rStyle w:val="Hyperlink"/>
            <w:rFonts w:ascii="Times New Roman" w:hAnsi="Times New Roman"/>
            <w:b w:val="false"/>
            <w:i w:val="false"/>
            <w:color w:val="000000"/>
            <w:sz w:val="24"/>
          </w:rPr>
          <w:t>441—Chapter 90</w:t>
        </w:r>
      </w:hyperlink>
      <w:r>
        <w:rPr>
          <w:rFonts w:ascii="Times New Roman" w:hAnsi="Times New Roman"/>
          <w:b w:val="false"/>
          <w:i w:val="false"/>
          <w:color w:val="000000"/>
          <w:sz w:val="24"/>
        </w:rPr>
        <w:t xml:space="preserve"> must choose whether to receive case management through the infant and toddler program or through </w:t>
      </w:r>
      <w:hyperlink r:id="rId341">
        <w:r>
          <w:rPr>
            <w:rStyle w:val="Hyperlink"/>
            <w:rFonts w:ascii="Times New Roman" w:hAnsi="Times New Roman"/>
            <w:b w:val="false"/>
            <w:i w:val="false"/>
            <w:color w:val="000000"/>
            <w:sz w:val="24"/>
          </w:rPr>
          <w:t>441—Chapter 90</w:t>
        </w:r>
      </w:hyperlink>
      <w:r>
        <w:rPr>
          <w:rFonts w:ascii="Times New Roman" w:hAnsi="Times New Roman"/>
          <w:b w:val="false"/>
          <w:i w:val="false"/>
          <w:color w:val="000000"/>
          <w:sz w:val="24"/>
        </w:rPr>
        <w:t>. The chosen provider must meet the requirements of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When a child resides in a medical institution, the institution is responsible for case management. The child is not eligible for any other case management services. However, noninstitutional case management services may be provided during the last 14 days before the child’s planned discharge if the child’s stay in the institution has been less than 180 consecutive days. If the child has been in the institution 180 consecutive days or longer, the child may receive noninstitutional case management services during the last 60 days before the child’s planned discharge.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case management agency also provides direct services, the case management unit must be designed so that conflict of interest is addressed and does not result in self-referrals.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If the costs of any part of case management services are reimbursable under another program, the costs must be allocated between those programs and Medicaid in accordance with OMB Circular No. A-87 as amended to July 1, 2026, or any related or successor guidance or regulations regarding allocation of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case manager must complete a competency-based training program with content related to knowledge and understanding of eligible children, Early ACCESS rules, the nature and scope of services in Early ACCESS, and the system of payments for services, as well as case management responsibilities and strategies. The department of education or its designee will determine whether a person has successfully completed the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Assessment. </w:t>
      </w:r>
      <w:r>
        <w:rPr>
          <w:rFonts w:ascii="Times New Roman" w:hAnsi="Times New Roman"/>
          <w:b w:val="false"/>
          <w:i w:val="false"/>
          <w:color w:val="000000"/>
          <w:sz w:val="24"/>
        </w:rPr>
        <w:t>The case manager shall conduct a comprehensive assessment and periodic reassessment of an eligible child to identify all of the child’s service needs, including the need for any medical, educational, social, or other services. Assessment activities are defined to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Taking the child’s history;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Identifying the needs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Gathering information from other sources, such as family members, medical providers, social workers, and educators, if necessary, to form a complete assessment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Completing documentation of the information gathered and the assessment results;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Repeating the assessment every six months to determine whether the child’s needs or preferences have changed.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Plan of care. </w:t>
      </w:r>
      <w:r>
        <w:rPr>
          <w:rFonts w:ascii="Times New Roman" w:hAnsi="Times New Roman"/>
          <w:b w:val="false"/>
          <w:i w:val="false"/>
          <w:color w:val="000000"/>
          <w:sz w:val="24"/>
        </w:rPr>
        <w:t>The case manager shall develop a plan of care based on the information collected through the assessment or reassessment. The plan of care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Include the child’s strengths and preferences;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Consider the child’s physical and social environment;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Specify goals of providing services to the child;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Specify actions to address the child’s medical, social, educational, and other service needs. These actions may include activities such as ensuring the active participation of the child and working with the child or the child’s authorized health care decision maker and others to develop goals and identify a course of action to respond to the assessed needs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Other service components. </w:t>
      </w:r>
      <w:r>
        <w:rPr>
          <w:rFonts w:ascii="Times New Roman" w:hAnsi="Times New Roman"/>
          <w:b w:val="false"/>
          <w:i w:val="false"/>
          <w:color w:val="000000"/>
          <w:sz w:val="24"/>
        </w:rPr>
        <w:t>Case management must include the following components: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Contacts with the child and family. The case manager shall have face-to-face contact with the child and family within the first 30 days of service and every three months thereafter. In months in which there is no face-to-face contact, a telephone contact between the service coordinator and the family is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Referral and related activities to help a child obtain needed services. The case manager shall help to link the child with medical, social, or educational providers or other programs and services that are capable of providing needed services. Referral activities do not include provision of the direct services, program, or activity to which the child has been linked. Referral activities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Assisting the family in gaining access to the infant and toddler program services and other services identified in the child’s plan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Assisting the family in identifying available service providers and funding resources and documenting unmet needs and gaps in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Making referrals to providers for needed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Scheduling appointments for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Facilitating the timely delivery of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Arranging payment for medical transportation.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Monitoring and follow-up activities. Monitoring activities shall take place at least once annually for the duration of the child’s eligibility, but may be conducted as frequently as necessary to ensure that the plan of care is effectively implemented and adequately addresses the needs of the child. Monitoring and follow-up activities may be with the child, family members, providers, or other entities. The purpose of these activities is to help determine: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Whether services are being furnished in accordance with the child’s plan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Whether the services in the plan of care are adequate to meet the needs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Whether there are changes in the needs or status of the child. If there are changes in the child’s needs or status, follow-up activities shall include making necessary adjustments to the plan of care and to service arrangements with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Keeping records, including preparing reports, updating the plan of care, making notes about plan activities in the child’s record, and preparing and responding to correspondence with the family and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Documentation of case management. </w:t>
      </w:r>
      <w:r>
        <w:rPr>
          <w:rFonts w:ascii="Times New Roman" w:hAnsi="Times New Roman"/>
          <w:b w:val="false"/>
          <w:i w:val="false"/>
          <w:color w:val="000000"/>
          <w:sz w:val="24"/>
        </w:rPr>
        <w:t>For each child receiving case management, case records must document: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dates of case management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agency chosen by the family to provide the case management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nature, content, and units of case management services received;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Whether the goals specified in the care plan have been achieved;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Whether the family has declined services in the care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Time lines for providing services and reassessment;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need for and occurrences of coordination with case managers of other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78.49(3)</w:t>
      </w:r>
      <w:r>
        <w:rPr>
          <w:rFonts w:ascii="Times New Roman" w:hAnsi="Times New Roman"/>
          <w:b w:val="false"/>
          <w:i w:val="false"/>
          <w:color w:val="000000"/>
          <w:sz w:val="24"/>
        </w:rPr>
        <w:t> </w:t>
      </w:r>
      <w:r>
        <w:rPr>
          <w:rFonts w:ascii="Times New Roman" w:hAnsi="Times New Roman"/>
          <w:b w:val="false"/>
          <w:i/>
          <w:color w:val="000000"/>
          <w:sz w:val="24"/>
        </w:rPr>
        <w:t xml:space="preserve">Child’s eligibility. </w:t>
      </w:r>
      <w:r>
        <w:rPr>
          <w:rFonts w:ascii="Times New Roman" w:hAnsi="Times New Roman"/>
          <w:b w:val="false"/>
          <w:i w:val="false"/>
          <w:color w:val="000000"/>
          <w:sz w:val="24"/>
        </w:rPr>
        <w:t>Payable services must be provided to a child under the age of 36 months who is experiencing developmental delay or who has a condition that is known to have a high probability of resulting in developmental delay at a later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78.49(4)</w:t>
      </w:r>
      <w:r>
        <w:rPr>
          <w:rFonts w:ascii="Times New Roman" w:hAnsi="Times New Roman"/>
          <w:b w:val="false"/>
          <w:i w:val="false"/>
          <w:color w:val="000000"/>
          <w:sz w:val="24"/>
        </w:rPr>
        <w:t> </w:t>
      </w:r>
      <w:r>
        <w:rPr>
          <w:rFonts w:ascii="Times New Roman" w:hAnsi="Times New Roman"/>
          <w:b w:val="false"/>
          <w:i/>
          <w:color w:val="000000"/>
          <w:sz w:val="24"/>
        </w:rPr>
        <w:t xml:space="preserve">Delivery of services. </w:t>
      </w:r>
      <w:r>
        <w:rPr>
          <w:rFonts w:ascii="Times New Roman" w:hAnsi="Times New Roman"/>
          <w:b w:val="false"/>
          <w:i w:val="false"/>
          <w:color w:val="000000"/>
          <w:sz w:val="24"/>
        </w:rPr>
        <w:t>Services must be delivered directly by the infant and toddler program provider or by a practitioner under contract with the infant and toddler program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78.49(5)</w:t>
      </w:r>
      <w:r>
        <w:rPr>
          <w:rFonts w:ascii="Times New Roman" w:hAnsi="Times New Roman"/>
          <w:b w:val="false"/>
          <w:i w:val="false"/>
          <w:color w:val="000000"/>
          <w:sz w:val="24"/>
        </w:rPr>
        <w:t> </w:t>
      </w:r>
      <w:r>
        <w:rPr>
          <w:rFonts w:ascii="Times New Roman" w:hAnsi="Times New Roman"/>
          <w:b w:val="false"/>
          <w:i/>
          <w:color w:val="000000"/>
          <w:sz w:val="24"/>
        </w:rPr>
        <w:t xml:space="preserve">Remission of nonfederal share of costs. </w:t>
      </w:r>
      <w:r>
        <w:rPr>
          <w:rFonts w:ascii="Times New Roman" w:hAnsi="Times New Roman"/>
          <w:b w:val="false"/>
          <w:i w:val="false"/>
          <w:color w:val="000000"/>
          <w:sz w:val="24"/>
        </w:rPr>
        <w:t>Payment for services shall be made only when the following conditions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infant and toddler program provider has executed an agreement to remit the nonfederal share of the cost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infant and toddler program provider shall sign and return a Medicaid Billing Remittance form along with the funds remitted for the nonfederal share of the costs of the services specified on the form.</w:t>
      </w:r>
    </w:p>
    <w:p>
      <w:pPr>
        <w:spacing w:before="0" w:after="0" w:line="480"/>
        <w:ind w:left="120"/>
        <w:jc w:val="both"/>
      </w:pPr>
      <w:r>
        <w:rPr>
          <w:rFonts w:ascii="Times New Roman" w:hAnsi="Times New Roman"/>
          <w:b/>
          <w:i w:val="false"/>
          <w:color w:val="000000"/>
          <w:sz w:val="24"/>
        </w:rPr>
        <w:t>441—78.50</w:t>
      </w:r>
      <w:r>
        <w:rPr>
          <w:rFonts w:ascii="Times New Roman" w:hAnsi="Times New Roman"/>
          <w:b/>
          <w:i w:val="false"/>
          <w:color w:val="000000"/>
          <w:sz w:val="24"/>
        </w:rPr>
        <w:t xml:space="preserve">(249A) </w:t>
      </w:r>
      <w:r>
        <w:rPr>
          <w:rFonts w:ascii="Times New Roman" w:hAnsi="Times New Roman"/>
          <w:b/>
          <w:i w:val="false"/>
          <w:color w:val="000000"/>
          <w:sz w:val="24"/>
        </w:rPr>
        <w:t xml:space="preserve">Local education agency services. </w:t>
      </w:r>
      <w:r>
        <w:rPr>
          <w:rFonts w:ascii="Times New Roman" w:hAnsi="Times New Roman"/>
          <w:b w:val="false"/>
          <w:i w:val="false"/>
          <w:color w:val="000000"/>
          <w:sz w:val="24"/>
        </w:rPr>
        <w:t>Subject to the following subrules, payment will be made for medical services provided by local education agency services providers to Medicaid members under the age of 21.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78.50(1)</w:t>
      </w:r>
      <w:r>
        <w:rPr>
          <w:rFonts w:ascii="Times New Roman" w:hAnsi="Times New Roman"/>
          <w:b w:val="false"/>
          <w:i w:val="false"/>
          <w:color w:val="000000"/>
          <w:sz w:val="24"/>
        </w:rPr>
        <w:t> </w:t>
      </w:r>
      <w:r>
        <w:rPr>
          <w:rFonts w:ascii="Times New Roman" w:hAnsi="Times New Roman"/>
          <w:b w:val="false"/>
          <w:i/>
          <w:color w:val="000000"/>
          <w:sz w:val="24"/>
        </w:rPr>
        <w:t xml:space="preserve">Covered services. </w:t>
      </w:r>
      <w:r>
        <w:rPr>
          <w:rFonts w:ascii="Times New Roman" w:hAnsi="Times New Roman"/>
          <w:b w:val="false"/>
          <w:i w:val="false"/>
          <w:color w:val="000000"/>
          <w:sz w:val="24"/>
        </w:rPr>
        <w:t>Covered services include but are not limited to audiology services, behavior services, consultation services, medical transportation, nursing services, nutrition services, occupational therapy services, personal assistance, physical therapy services, psychologist services, speech-language services, social work services, vision services, and school-based clinic visit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 order to be paid for the administration of a vaccine covered under the VFC program, a local education agency must enroll in the VFC program. Payment for the vaccine will be approved only if the VFC program stock has been depleted.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Payment for supplies will be approved when the supplies are incidental to the patient’s care, e.g., syringes for injections, and do not exceed $25 per month. Durable medical equipment and other supplies are not covered as local education agency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To the extent that federal funding is not available under </w:t>
      </w:r>
      <w:r>
        <w:rPr>
          <w:rFonts w:ascii="Times New Roman" w:hAnsi="Times New Roman"/>
          <w:b w:val="false"/>
          <w:i w:val="false"/>
          <w:color w:val="000000"/>
          <w:sz w:val="24"/>
        </w:rPr>
        <w:t>Title XIX of the Social Security Act</w:t>
      </w:r>
      <w:r>
        <w:rPr>
          <w:rFonts w:ascii="Times New Roman" w:hAnsi="Times New Roman"/>
          <w:b w:val="false"/>
          <w:i w:val="false"/>
          <w:color w:val="000000"/>
          <w:sz w:val="24"/>
        </w:rPr>
        <w:t xml:space="preserve"> as amended to July 1, 2026, payment for transportation between home and school is not a covered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78.50(2)</w:t>
      </w:r>
      <w:r>
        <w:rPr>
          <w:rFonts w:ascii="Times New Roman" w:hAnsi="Times New Roman"/>
          <w:b w:val="false"/>
          <w:i w:val="false"/>
          <w:color w:val="000000"/>
          <w:sz w:val="24"/>
        </w:rPr>
        <w:t> </w:t>
      </w:r>
      <w:r>
        <w:rPr>
          <w:rFonts w:ascii="Times New Roman" w:hAnsi="Times New Roman"/>
          <w:b w:val="false"/>
          <w:i/>
          <w:color w:val="000000"/>
          <w:sz w:val="24"/>
        </w:rPr>
        <w:t xml:space="preserve">Delivery of services. </w:t>
      </w:r>
      <w:r>
        <w:rPr>
          <w:rFonts w:ascii="Times New Roman" w:hAnsi="Times New Roman"/>
          <w:b w:val="false"/>
          <w:i w:val="false"/>
          <w:color w:val="000000"/>
          <w:sz w:val="24"/>
        </w:rPr>
        <w:t>Services must be delivered directly by the local education agency services providers or by a practitioner under contract with the local education agency services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78.50(3)</w:t>
      </w:r>
      <w:r>
        <w:rPr>
          <w:rFonts w:ascii="Times New Roman" w:hAnsi="Times New Roman"/>
          <w:b w:val="false"/>
          <w:i w:val="false"/>
          <w:color w:val="000000"/>
          <w:sz w:val="24"/>
        </w:rPr>
        <w:t> </w:t>
      </w:r>
      <w:r>
        <w:rPr>
          <w:rFonts w:ascii="Times New Roman" w:hAnsi="Times New Roman"/>
          <w:b w:val="false"/>
          <w:i/>
          <w:color w:val="000000"/>
          <w:sz w:val="24"/>
        </w:rPr>
        <w:t xml:space="preserve">Remission of nonfederal share of costs. </w:t>
      </w:r>
      <w:r>
        <w:rPr>
          <w:rFonts w:ascii="Times New Roman" w:hAnsi="Times New Roman"/>
          <w:b w:val="false"/>
          <w:i w:val="false"/>
          <w:color w:val="000000"/>
          <w:sz w:val="24"/>
        </w:rPr>
        <w:t>Payment for services shall be made only when the following conditions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local education agency services provider has executed an agreement to remit the nonfederal share of the cost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local education agency provider shall sign and return a Medicaid Billing Remittance form along with the funds remitted for the nonfederal share of the costs of the services as specified on the form.</w:t>
      </w:r>
    </w:p>
    <w:p>
      <w:pPr>
        <w:spacing w:before="210" w:after="0" w:line="480"/>
        <w:ind w:left="120"/>
        <w:jc w:val="both"/>
      </w:pPr>
      <w:r>
        <w:rPr>
          <w:rFonts w:ascii="Times New Roman" w:hAnsi="Times New Roman"/>
          <w:b/>
          <w:i w:val="false"/>
          <w:color w:val="000000"/>
          <w:sz w:val="24"/>
        </w:rPr>
        <w:t>441—78.51</w:t>
      </w:r>
      <w:r>
        <w:rPr>
          <w:rFonts w:ascii="Times New Roman" w:hAnsi="Times New Roman"/>
          <w:b/>
          <w:i w:val="false"/>
          <w:color w:val="000000"/>
          <w:sz w:val="24"/>
        </w:rPr>
        <w:t xml:space="preserve">(249A) </w:t>
      </w:r>
      <w:r>
        <w:rPr>
          <w:rFonts w:ascii="Times New Roman" w:hAnsi="Times New Roman"/>
          <w:b/>
          <w:i w:val="false"/>
          <w:color w:val="000000"/>
          <w:sz w:val="24"/>
        </w:rPr>
        <w:t xml:space="preserve">Indian health service 638 facility services. </w:t>
      </w:r>
      <w:r>
        <w:rPr>
          <w:rFonts w:ascii="Times New Roman" w:hAnsi="Times New Roman"/>
          <w:b w:val="false"/>
          <w:i w:val="false"/>
          <w:color w:val="000000"/>
          <w:sz w:val="24"/>
        </w:rPr>
        <w:t xml:space="preserve">Payment will be made for all medically necessary services and supplies provided by a licensed practitioner at an Indian health service 638 facility, as defined at rule </w:t>
      </w:r>
      <w:hyperlink r:id="rId342">
        <w:r>
          <w:rPr>
            <w:rStyle w:val="Hyperlink"/>
            <w:rFonts w:ascii="Times New Roman" w:hAnsi="Times New Roman"/>
            <w:b w:val="false"/>
            <w:i w:val="false"/>
            <w:color w:val="000000"/>
            <w:sz w:val="24"/>
          </w:rPr>
          <w:t>441—77.47</w:t>
        </w:r>
      </w:hyperlink>
      <w:r>
        <w:rPr>
          <w:rFonts w:ascii="Times New Roman" w:hAnsi="Times New Roman"/>
          <w:b w:val="false"/>
          <w:i w:val="false"/>
          <w:color w:val="000000"/>
          <w:sz w:val="24"/>
        </w:rPr>
        <w:t xml:space="preserve">(249A), within the practitioner’s scope of practice and subject to the limitations and exclusions set forth in subrule </w:t>
      </w:r>
      <w:hyperlink r:id="rId343">
        <w:r>
          <w:rPr>
            <w:rStyle w:val="Hyperlink"/>
            <w:rFonts w:ascii="Times New Roman" w:hAnsi="Times New Roman"/>
            <w:b w:val="false"/>
            <w:i w:val="false"/>
            <w:color w:val="000000"/>
            <w:sz w:val="24"/>
          </w:rPr>
          <w:t>78.1(1)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441—78.52</w:t>
      </w:r>
      <w:r>
        <w:rPr>
          <w:rFonts w:ascii="Times New Roman" w:hAnsi="Times New Roman"/>
          <w:b/>
          <w:i w:val="false"/>
          <w:color w:val="000000"/>
          <w:sz w:val="24"/>
        </w:rPr>
        <w:t xml:space="preserve">(249A) </w:t>
      </w:r>
      <w:r>
        <w:rPr>
          <w:rFonts w:ascii="Times New Roman" w:hAnsi="Times New Roman"/>
          <w:b/>
          <w:i w:val="false"/>
          <w:color w:val="000000"/>
          <w:sz w:val="24"/>
        </w:rPr>
        <w:t xml:space="preserve">HCBS children’s mental health waiver services. </w:t>
      </w:r>
      <w:r>
        <w:rPr>
          <w:rFonts w:ascii="Times New Roman" w:hAnsi="Times New Roman"/>
          <w:b w:val="false"/>
          <w:i w:val="false"/>
          <w:color w:val="000000"/>
          <w:sz w:val="24"/>
        </w:rPr>
        <w:t xml:space="preserve">Payment will be approved for the following services to members eligible for the HCBS children’s mental health waiver as established in </w:t>
      </w:r>
      <w:hyperlink r:id="rId344">
        <w:r>
          <w:rPr>
            <w:rStyle w:val="Hyperlink"/>
            <w:rFonts w:ascii="Times New Roman" w:hAnsi="Times New Roman"/>
            <w:b w:val="false"/>
            <w:i w:val="false"/>
            <w:color w:val="000000"/>
            <w:sz w:val="24"/>
          </w:rPr>
          <w:t>441—Chapter 83</w:t>
        </w:r>
      </w:hyperlink>
      <w:r>
        <w:rPr>
          <w:rFonts w:ascii="Times New Roman" w:hAnsi="Times New Roman"/>
          <w:b w:val="false"/>
          <w:i w:val="false"/>
          <w:color w:val="000000"/>
          <w:sz w:val="24"/>
        </w:rPr>
        <w:t xml:space="preserve"> and as identified in the member’s service plan. Payment will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78.52(1)</w:t>
      </w:r>
      <w:r>
        <w:rPr>
          <w:rFonts w:ascii="Times New Roman" w:hAnsi="Times New Roman"/>
          <w:b w:val="false"/>
          <w:i w:val="false"/>
          <w:color w:val="000000"/>
          <w:sz w:val="24"/>
        </w:rPr>
        <w:t> </w:t>
      </w:r>
      <w:r>
        <w:rPr>
          <w:rFonts w:ascii="Times New Roman" w:hAnsi="Times New Roman"/>
          <w:b w:val="false"/>
          <w:i/>
          <w:color w:val="000000"/>
          <w:sz w:val="24"/>
        </w:rPr>
        <w:t xml:space="preserve">General service standards. </w:t>
      </w:r>
      <w:r>
        <w:rPr>
          <w:rFonts w:ascii="Times New Roman" w:hAnsi="Times New Roman"/>
          <w:b w:val="false"/>
          <w:i w:val="false"/>
          <w:color w:val="000000"/>
          <w:sz w:val="24"/>
        </w:rPr>
        <w:t>All children’s mental health waiver services must be provided in accordance with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Reimbursement will not be available under the waiver for any services that the member can obtain as other nonwaiver Medicaid services or through any other funding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services provided under the waiver must be delivered in the least restrictive environment possible and in conformity with the member’s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All rights restrictions must be implemented in accordance with </w:t>
      </w:r>
      <w:hyperlink r:id="rId345">
        <w:r>
          <w:rPr>
            <w:rStyle w:val="Hyperlink"/>
            <w:rFonts w:ascii="Times New Roman" w:hAnsi="Times New Roman"/>
            <w:b w:val="false"/>
            <w:i w:val="false"/>
            <w:color w:val="000000"/>
            <w:sz w:val="24"/>
          </w:rPr>
          <w:t>441—subrule 77.30(4)</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Services must be billed in whole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For all services with a 15-minute unit of service, the rounding process outlined in paragraph </w:t>
      </w:r>
      <w:hyperlink r:id="rId346">
        <w:r>
          <w:rPr>
            <w:rStyle w:val="Hyperlink"/>
            <w:rFonts w:ascii="Times New Roman" w:hAnsi="Times New Roman"/>
            <w:b w:val="false"/>
            <w:i w:val="false"/>
            <w:color w:val="000000"/>
            <w:sz w:val="24"/>
          </w:rPr>
          <w:t>78.34(14)</w:t>
        </w:r>
      </w:hyperlink>
      <w:r>
        <w:rPr>
          <w:rFonts w:ascii="Times New Roman" w:hAnsi="Times New Roman"/>
          <w:b w:val="false"/>
          <w:i/>
          <w:color w:val="000000"/>
          <w:sz w:val="24"/>
        </w:rPr>
        <w:t>“e”</w:t>
      </w:r>
      <w:r>
        <w:rPr>
          <w:rFonts w:ascii="Times New Roman" w:hAnsi="Times New Roman"/>
          <w:b w:val="false"/>
          <w:i w:val="false"/>
          <w:color w:val="000000"/>
          <w:sz w:val="24"/>
        </w:rPr>
        <w:t xml:space="preserve"> will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78.52(2)</w:t>
      </w:r>
      <w:r>
        <w:rPr>
          <w:rFonts w:ascii="Times New Roman" w:hAnsi="Times New Roman"/>
          <w:b w:val="false"/>
          <w:i w:val="false"/>
          <w:color w:val="000000"/>
          <w:sz w:val="24"/>
        </w:rPr>
        <w:t> </w:t>
      </w:r>
      <w:r>
        <w:rPr>
          <w:rFonts w:ascii="Times New Roman" w:hAnsi="Times New Roman"/>
          <w:b w:val="false"/>
          <w:i/>
          <w:color w:val="000000"/>
          <w:sz w:val="24"/>
        </w:rPr>
        <w:t xml:space="preserve">Environmental modifications and adaptive devices.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Environmental modifications and adaptive devices include medically necessary items installed or used within the member’s home that are used by the member to address specific, documented health, mental health, or safety concerns. The following items are excluded under this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Items ordinarily covered by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Items funded by educational or vocational rehabilitation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Items provided by voluntary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Repair and maintenance of items purchased through the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Fencing.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unit of service is one modification or device.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For each unit of service provided, the case manager shall maintain in the member’s case file a signed statement from a mental health professional on the member’s interdisciplinary team that the service has a direct relationship to the member’s diagnosis of serious emotional disturbance.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for most items will be based on a fee schedule. The amount of the fee will be determined as directed in </w:t>
      </w:r>
      <w:hyperlink r:id="rId347">
        <w:r>
          <w:rPr>
            <w:rStyle w:val="Hyperlink"/>
            <w:rFonts w:ascii="Times New Roman" w:hAnsi="Times New Roman"/>
            <w:b w:val="false"/>
            <w:i w:val="false"/>
            <w:color w:val="000000"/>
            <w:sz w:val="24"/>
          </w:rPr>
          <w:t>441—subrule 79.1(17)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78.52(3)</w:t>
      </w:r>
      <w:r>
        <w:rPr>
          <w:rFonts w:ascii="Times New Roman" w:hAnsi="Times New Roman"/>
          <w:b w:val="false"/>
          <w:i w:val="false"/>
          <w:color w:val="000000"/>
          <w:sz w:val="24"/>
        </w:rPr>
        <w:t> </w:t>
      </w:r>
      <w:r>
        <w:rPr>
          <w:rFonts w:ascii="Times New Roman" w:hAnsi="Times New Roman"/>
          <w:b w:val="false"/>
          <w:i/>
          <w:color w:val="000000"/>
          <w:sz w:val="24"/>
        </w:rPr>
        <w:t xml:space="preserve">Family and community support services. </w:t>
      </w:r>
      <w:r>
        <w:rPr>
          <w:rFonts w:ascii="Times New Roman" w:hAnsi="Times New Roman"/>
          <w:b w:val="false"/>
          <w:i w:val="false"/>
          <w:color w:val="000000"/>
          <w:sz w:val="24"/>
        </w:rPr>
        <w:t>Family and community support services shall support the member and the member’s family by the development and implementation of strategies and interventions that will result in the reduction of stress and depression and will increase the member’s and the family’s social and emotional strength.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Dependent on the needs of the member and the member’s family members individually or collectively, family and community support services may be provided to the member, to the member’s family members, or to the member and the family members as a family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Family and community support services shall be provided under the recommendation and direction of a mental health professional who is a member of the member’s interdisciplinary team pursuant to </w:t>
      </w:r>
      <w:hyperlink r:id="rId348">
        <w:r>
          <w:rPr>
            <w:rStyle w:val="Hyperlink"/>
            <w:rFonts w:ascii="Times New Roman" w:hAnsi="Times New Roman"/>
            <w:b w:val="false"/>
            <w:i w:val="false"/>
            <w:color w:val="000000"/>
            <w:sz w:val="24"/>
          </w:rPr>
          <w:t>441—Chapter 83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Family and community support services shall incorporate recommended support interventions and activities, which may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Developing and maintaining a crisis support network for the member and for the member’s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Modeling and coaching effective coping strategies for the member’s family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Building resilience to the stigma of serious emotional disturbance for the member and the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Reducing the stigma of serious emotional disturbance by the development of relationships with peers and community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Modeling and coaching the strategies and interventions identified in the member’s crisis intervention plan as defined in </w:t>
      </w:r>
      <w:hyperlink r:id="rId349">
        <w:r>
          <w:rPr>
            <w:rStyle w:val="Hyperlink"/>
            <w:rFonts w:ascii="Times New Roman" w:hAnsi="Times New Roman"/>
            <w:b w:val="false"/>
            <w:i w:val="false"/>
            <w:color w:val="000000"/>
            <w:sz w:val="24"/>
          </w:rPr>
          <w:t>441—24.1</w:t>
        </w:r>
      </w:hyperlink>
      <w:r>
        <w:rPr>
          <w:rFonts w:ascii="Times New Roman" w:hAnsi="Times New Roman"/>
          <w:b w:val="false"/>
          <w:i w:val="false"/>
          <w:color w:val="000000"/>
          <w:sz w:val="24"/>
        </w:rPr>
        <w:t>(225A) for life situations with the member’s family and in the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Developing medication management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Developing personal hygiene and grooming skills that contribute to the member’s positive self-image.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Developing positive socialization and citizenship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Family and community support services may include an amount not to exceed $1,500 per member per year for transportation within the community and purchase of therapeutic resources. Therapeutic resources may include books, training materials, and visual or audio media.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interdisciplinary team must have identified the transportation or therapeutic resource as a support need and included that need in the case manager’s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annual amount available for transportation and therapeutic resources must be listed in the member’s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member’s parent or legal guardian shall submit a signed statement that the transportation or therapeutic resource cannot be provided by the member or the member’s family or legal guardian.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member’s Medicaid case manager will maintain a signed statement that potential community resources are unavailable and will list the community resources contacted to fund the transportation or therapeutic resource.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transportation or therapeutic resource must not be otherwise eligible for Medicaid reimbursement.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following components are specifically excluded from family and community support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Vocational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Prevocational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Supported employment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Room and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Academic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General supervision and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unit of family and community support services is 15 minutes.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78.52(4)</w:t>
      </w:r>
      <w:r>
        <w:rPr>
          <w:rFonts w:ascii="Times New Roman" w:hAnsi="Times New Roman"/>
          <w:b w:val="false"/>
          <w:i w:val="false"/>
          <w:color w:val="000000"/>
          <w:sz w:val="24"/>
        </w:rPr>
        <w:t> </w:t>
      </w:r>
      <w:r>
        <w:rPr>
          <w:rFonts w:ascii="Times New Roman" w:hAnsi="Times New Roman"/>
          <w:b w:val="false"/>
          <w:i/>
          <w:color w:val="000000"/>
          <w:sz w:val="24"/>
        </w:rPr>
        <w:t xml:space="preserve">In-home family therapy. </w:t>
      </w:r>
      <w:r>
        <w:rPr>
          <w:rFonts w:ascii="Times New Roman" w:hAnsi="Times New Roman"/>
          <w:b w:val="false"/>
          <w:i w:val="false"/>
          <w:color w:val="000000"/>
          <w:sz w:val="24"/>
        </w:rPr>
        <w:t>In-home family therapy provides skilled therapeutic services to the member and family that will increase their ability to cope with the effects of serious emotional disturbance on the family unit and the familial relationships. The service must support the family by the development of coping strategies that will enable the member to continue living within the family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goal of in-home family therapy is to maintain a cohesive family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In-home family therapy is exclusive of and cannot serve as a substitute for individual therapy, family therapy, or other mental health therapy that may be obtained through Medicaid or other funding 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unit of in-home family therapy service is 15 minutes.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78.52(5)</w:t>
      </w:r>
      <w:r>
        <w:rPr>
          <w:rFonts w:ascii="Times New Roman" w:hAnsi="Times New Roman"/>
          <w:b w:val="false"/>
          <w:i w:val="false"/>
          <w:color w:val="000000"/>
          <w:sz w:val="24"/>
        </w:rPr>
        <w:t> </w:t>
      </w:r>
      <w:r>
        <w:rPr>
          <w:rFonts w:ascii="Times New Roman" w:hAnsi="Times New Roman"/>
          <w:b w:val="false"/>
          <w:i/>
          <w:color w:val="000000"/>
          <w:sz w:val="24"/>
        </w:rPr>
        <w:t xml:space="preserve">Respite care services. </w:t>
      </w:r>
      <w:r>
        <w:rPr>
          <w:rFonts w:ascii="Times New Roman" w:hAnsi="Times New Roman"/>
          <w:b w:val="false"/>
          <w:i w:val="false"/>
          <w:color w:val="000000"/>
          <w:sz w:val="24"/>
        </w:rPr>
        <w:t xml:space="preserve">Respite care services are services provided pursuant to subrule </w:t>
      </w:r>
      <w:hyperlink r:id="rId350">
        <w:r>
          <w:rPr>
            <w:rStyle w:val="Hyperlink"/>
            <w:rFonts w:ascii="Times New Roman" w:hAnsi="Times New Roman"/>
            <w:b w:val="false"/>
            <w:i w:val="false"/>
            <w:color w:val="000000"/>
            <w:sz w:val="24"/>
          </w:rPr>
          <w:t>78.34(5)</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441—78.53</w:t>
      </w:r>
      <w:r>
        <w:rPr>
          <w:rFonts w:ascii="Times New Roman" w:hAnsi="Times New Roman"/>
          <w:b/>
          <w:i w:val="false"/>
          <w:color w:val="000000"/>
          <w:sz w:val="24"/>
        </w:rPr>
        <w:t xml:space="preserve">(249A) </w:t>
      </w:r>
      <w:r>
        <w:rPr>
          <w:rFonts w:ascii="Times New Roman" w:hAnsi="Times New Roman"/>
          <w:b/>
          <w:i w:val="false"/>
          <w:color w:val="000000"/>
          <w:sz w:val="24"/>
        </w:rPr>
        <w:t xml:space="preserve">Speech-language pathology services. </w:t>
      </w:r>
      <w:r>
        <w:rPr>
          <w:rFonts w:ascii="Times New Roman" w:hAnsi="Times New Roman"/>
          <w:b w:val="false"/>
          <w:i w:val="false"/>
          <w:color w:val="000000"/>
          <w:sz w:val="24"/>
        </w:rPr>
        <w:t xml:space="preserve">Payment will be approved for the same services provided by a speech-language pathologist that are payable under </w:t>
      </w:r>
      <w:r>
        <w:rPr>
          <w:rFonts w:ascii="Times New Roman" w:hAnsi="Times New Roman"/>
          <w:b w:val="false"/>
          <w:i w:val="false"/>
          <w:color w:val="000000"/>
          <w:sz w:val="24"/>
        </w:rPr>
        <w:t>Title XVIII of the Social Security Act</w:t>
      </w:r>
      <w:r>
        <w:rPr>
          <w:rFonts w:ascii="Times New Roman" w:hAnsi="Times New Roman"/>
          <w:b w:val="false"/>
          <w:i w:val="false"/>
          <w:color w:val="000000"/>
          <w:sz w:val="24"/>
        </w:rPr>
        <w:t xml:space="preserve"> as amended to July 1, 2026 (Medicare).</w:t>
      </w:r>
    </w:p>
    <w:p>
      <w:pPr>
        <w:spacing w:before="210" w:after="0" w:line="480"/>
        <w:ind w:left="120"/>
        <w:jc w:val="both"/>
      </w:pPr>
      <w:r>
        <w:rPr>
          <w:rFonts w:ascii="Times New Roman" w:hAnsi="Times New Roman"/>
          <w:b/>
          <w:i w:val="false"/>
          <w:color w:val="000000"/>
          <w:sz w:val="24"/>
        </w:rPr>
        <w:t>441—78.54</w:t>
      </w:r>
      <w:r>
        <w:rPr>
          <w:rFonts w:ascii="Times New Roman" w:hAnsi="Times New Roman"/>
          <w:b/>
          <w:i w:val="false"/>
          <w:color w:val="000000"/>
          <w:sz w:val="24"/>
        </w:rPr>
        <w:t xml:space="preserve">(249A) </w:t>
      </w:r>
      <w:r>
        <w:rPr>
          <w:rFonts w:ascii="Times New Roman" w:hAnsi="Times New Roman"/>
          <w:b/>
          <w:i w:val="false"/>
          <w:color w:val="000000"/>
          <w:sz w:val="24"/>
        </w:rPr>
        <w:t xml:space="preserve">Services rendered via telehealth. </w:t>
      </w:r>
      <w:r>
        <w:rPr>
          <w:rFonts w:ascii="Times New Roman" w:hAnsi="Times New Roman"/>
          <w:b w:val="false"/>
          <w:i w:val="false"/>
          <w:color w:val="000000"/>
          <w:sz w:val="24"/>
        </w:rPr>
        <w:t xml:space="preserve">An in-person contact between a health care professional and a patient is not required as a prerequisite for payment for otherwise-covered services appropriately provided through telehealth in accordance with generally accepted health care practices and standards prevailing in the applicable professional community at the time the services are provided, as well as being in accordance with provisions under rule </w:t>
      </w:r>
      <w:hyperlink r:id="rId351">
        <w:r>
          <w:rPr>
            <w:rStyle w:val="Hyperlink"/>
            <w:rFonts w:ascii="Times New Roman" w:hAnsi="Times New Roman"/>
            <w:b w:val="false"/>
            <w:i w:val="false"/>
            <w:color w:val="000000"/>
            <w:sz w:val="24"/>
          </w:rPr>
          <w:t>481—655.9</w:t>
        </w:r>
      </w:hyperlink>
      <w:r>
        <w:rPr>
          <w:rFonts w:ascii="Times New Roman" w:hAnsi="Times New Roman"/>
          <w:b w:val="false"/>
          <w:i w:val="false"/>
          <w:color w:val="000000"/>
          <w:sz w:val="24"/>
        </w:rPr>
        <w:t>(147,148,272C). Health care services provided through in-person consultations or through telehealth shall be treated as equivalent services for the purposes of reimbursement.</w:t>
      </w:r>
    </w:p>
    <w:p>
      <w:pPr>
        <w:spacing w:before="0" w:after="0" w:line="480"/>
        <w:ind w:left="120"/>
        <w:jc w:val="both"/>
      </w:pPr>
      <w:r>
        <w:rPr>
          <w:rFonts w:ascii="Times New Roman" w:hAnsi="Times New Roman"/>
          <w:b/>
          <w:i w:val="false"/>
          <w:color w:val="000000"/>
          <w:sz w:val="24"/>
        </w:rPr>
        <w:t>441—78.55</w:t>
      </w:r>
      <w:r>
        <w:rPr>
          <w:rFonts w:ascii="Times New Roman" w:hAnsi="Times New Roman"/>
          <w:b/>
          <w:i w:val="false"/>
          <w:color w:val="000000"/>
          <w:sz w:val="24"/>
        </w:rPr>
        <w:t xml:space="preserve">(249A) </w:t>
      </w:r>
      <w:r>
        <w:rPr>
          <w:rFonts w:ascii="Times New Roman" w:hAnsi="Times New Roman"/>
          <w:b/>
          <w:i w:val="false"/>
          <w:color w:val="000000"/>
          <w:sz w:val="24"/>
        </w:rPr>
        <w:t xml:space="preserve">Community-based neurobehavioral rehabilitation services. </w:t>
      </w:r>
      <w:r>
        <w:rPr>
          <w:rFonts w:ascii="Times New Roman" w:hAnsi="Times New Roman"/>
          <w:b w:val="false"/>
          <w:i w:val="false"/>
          <w:color w:val="000000"/>
          <w:sz w:val="24"/>
        </w:rPr>
        <w:t>Payment will be made for community-based neurobehavioral rehabilitation services that do not duplicate other services covered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78.55(1)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“Assessment” </w:t>
      </w:r>
      <w:r>
        <w:rPr>
          <w:rFonts w:ascii="Times New Roman" w:hAnsi="Times New Roman"/>
          <w:b w:val="false"/>
          <w:i w:val="false"/>
          <w:color w:val="000000"/>
          <w:sz w:val="24"/>
        </w:rPr>
        <w:t>means the review of the current functioning of the member using the service in regard to the member’s situation, needs, strengths, abilities, desires, and goals.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“Brain injury” </w:t>
      </w:r>
      <w:r>
        <w:rPr>
          <w:rFonts w:ascii="Times New Roman" w:hAnsi="Times New Roman"/>
          <w:b w:val="false"/>
          <w:i w:val="false"/>
          <w:color w:val="000000"/>
          <w:sz w:val="24"/>
        </w:rPr>
        <w:t xml:space="preserve">means a diagnosis in accordance with rule </w:t>
      </w:r>
      <w:hyperlink r:id="rId352">
        <w:r>
          <w:rPr>
            <w:rStyle w:val="Hyperlink"/>
            <w:rFonts w:ascii="Times New Roman" w:hAnsi="Times New Roman"/>
            <w:b w:val="false"/>
            <w:i w:val="false"/>
            <w:color w:val="000000"/>
            <w:sz w:val="24"/>
          </w:rPr>
          <w:t>441—83.81</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“Health care” </w:t>
      </w:r>
      <w:r>
        <w:rPr>
          <w:rFonts w:ascii="Times New Roman" w:hAnsi="Times New Roman"/>
          <w:b w:val="false"/>
          <w:i w:val="false"/>
          <w:color w:val="000000"/>
          <w:sz w:val="24"/>
        </w:rPr>
        <w:t>means the services provided by trained and licensed health care professionals to restore or maintain the member’s health.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“Intermittent community-based neurobehavioral rehabilitation services” </w:t>
      </w:r>
      <w:r>
        <w:rPr>
          <w:rFonts w:ascii="Times New Roman" w:hAnsi="Times New Roman"/>
          <w:b w:val="false"/>
          <w:i w:val="false"/>
          <w:color w:val="000000"/>
          <w:sz w:val="24"/>
        </w:rPr>
        <w:t>are provided to a Medicaid member on an as-needed basis to support the member and the member’s family or caregivers to assist the member to increase adaptive behaviors, decrease maladaptive behaviors, and adapt and accommodate to challenging behaviors to support the member to remain in the member’s own home and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“Member” </w:t>
      </w:r>
      <w:r>
        <w:rPr>
          <w:rFonts w:ascii="Times New Roman" w:hAnsi="Times New Roman"/>
          <w:b w:val="false"/>
          <w:i w:val="false"/>
          <w:color w:val="000000"/>
          <w:sz w:val="24"/>
        </w:rPr>
        <w:t xml:space="preserve">means a person who has been determined to be eligible for Medicaid under </w:t>
      </w:r>
      <w:hyperlink r:id="rId353">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“Neurobehavioral rehabilitation” </w:t>
      </w:r>
      <w:r>
        <w:rPr>
          <w:rFonts w:ascii="Times New Roman" w:hAnsi="Times New Roman"/>
          <w:b w:val="false"/>
          <w:i w:val="false"/>
          <w:color w:val="000000"/>
          <w:sz w:val="24"/>
        </w:rPr>
        <w:t>refers to a specialized category of neurorehabilitation provided by a multidisciplinary team that has been trained in, and delivers, services individually designed to address cognitive, medical, behavioral and psychosocial challenges, as well as the physical manifestations of acquired brain injury. Services concurrently work to optimize functioning at personal, family and community levels, by supporting the increase of adaptive behaviors, decrease of maladaptive behaviors and adaptation and accommodation to challenging behaviors to support a member to maximize the member’s independence in activities of daily living and ability to live in the member’s home and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“Program” </w:t>
      </w:r>
      <w:r>
        <w:rPr>
          <w:rFonts w:ascii="Times New Roman" w:hAnsi="Times New Roman"/>
          <w:b w:val="false"/>
          <w:i w:val="false"/>
          <w:color w:val="000000"/>
          <w:sz w:val="24"/>
        </w:rPr>
        <w:t>means a set of related resources and services directed to the accomplishment of a fixed set of goals for eligible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“Standardized assessment” </w:t>
      </w:r>
      <w:r>
        <w:rPr>
          <w:rFonts w:ascii="Times New Roman" w:hAnsi="Times New Roman"/>
          <w:b w:val="false"/>
          <w:i w:val="false"/>
          <w:color w:val="000000"/>
          <w:sz w:val="24"/>
        </w:rPr>
        <w:t>means a valid, reliable, and comprehensive functional assessment tool(s) or process, or both, approved by the department for use in the assessment of a member’s individual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78.55(2)</w:t>
      </w:r>
      <w:r>
        <w:rPr>
          <w:rFonts w:ascii="Times New Roman" w:hAnsi="Times New Roman"/>
          <w:b w:val="false"/>
          <w:i w:val="false"/>
          <w:color w:val="000000"/>
          <w:sz w:val="24"/>
        </w:rPr>
        <w:t> </w:t>
      </w:r>
      <w:r>
        <w:rPr>
          <w:rFonts w:ascii="Times New Roman" w:hAnsi="Times New Roman"/>
          <w:b w:val="false"/>
          <w:i/>
          <w:color w:val="000000"/>
          <w:sz w:val="24"/>
        </w:rPr>
        <w:t xml:space="preserve">Member eligibility. </w:t>
      </w:r>
      <w:r>
        <w:rPr>
          <w:rFonts w:ascii="Times New Roman" w:hAnsi="Times New Roman"/>
          <w:b w:val="false"/>
          <w:i w:val="false"/>
          <w:color w:val="000000"/>
          <w:sz w:val="24"/>
        </w:rPr>
        <w:t>To be eligible to receive community-based neurobehavioral rehabilitation services, a member shall meet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Brain injury diagnosis. </w:t>
      </w:r>
      <w:r>
        <w:rPr>
          <w:rFonts w:ascii="Times New Roman" w:hAnsi="Times New Roman"/>
          <w:b w:val="false"/>
          <w:i w:val="false"/>
          <w:color w:val="000000"/>
          <w:sz w:val="24"/>
        </w:rPr>
        <w:t xml:space="preserve">To be eligible for community-based neurobehavioral rehabilitation services, the member must have a brain injury diagnosis as set forth in rule </w:t>
      </w:r>
      <w:hyperlink r:id="rId354">
        <w:r>
          <w:rPr>
            <w:rStyle w:val="Hyperlink"/>
            <w:rFonts w:ascii="Times New Roman" w:hAnsi="Times New Roman"/>
            <w:b w:val="false"/>
            <w:i w:val="false"/>
            <w:color w:val="000000"/>
            <w:sz w:val="24"/>
          </w:rPr>
          <w:t>441—83.81</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Risk factors. </w:t>
      </w:r>
      <w:r>
        <w:rPr>
          <w:rFonts w:ascii="Times New Roman" w:hAnsi="Times New Roman"/>
          <w:b w:val="false"/>
          <w:i w:val="false"/>
          <w:color w:val="000000"/>
          <w:sz w:val="24"/>
        </w:rPr>
        <w:t>The member has the following post-brain injury risk factors: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member is exhibiting neurobehavioral symptoms in such frequency or severity that the member has undergone or is currently undergoing treatment more intensive than outpatient care and is currently hospitalized, institutionalized, incarcerated or homeless or is at risk of hospitalization, institutionalization, incarceration or homelessness;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member has a history of presenting with neurobehavioral or psychiatric symptoms resulting in at least one episode that required professional supportive care more intensive than outpatient care more than once in a lifetime (e.g., emergency services, alternative home care, partial hospitalization, or inpatient hospitalization).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Need for assistance. </w:t>
      </w:r>
      <w:r>
        <w:rPr>
          <w:rFonts w:ascii="Times New Roman" w:hAnsi="Times New Roman"/>
          <w:b w:val="false"/>
          <w:i w:val="false"/>
          <w:color w:val="000000"/>
          <w:sz w:val="24"/>
        </w:rPr>
        <w:t>The member exhibits neurobehavioral symptoms in such frequency, severity or intensity that community-based neurobehavioral rehabilitation is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Needs assessment. </w:t>
      </w:r>
      <w:r>
        <w:rPr>
          <w:rFonts w:ascii="Times New Roman" w:hAnsi="Times New Roman"/>
          <w:b w:val="false"/>
          <w:i w:val="false"/>
          <w:color w:val="000000"/>
          <w:sz w:val="24"/>
        </w:rPr>
        <w:t>The member shall have an assessment of need completed prior to admission. The member shall have the Mayo-Portland Adaptability Inventory (MPAI) assessment as amended to July 1, 2026, completed by a qualified trained assessor. The assessment of need shall document the member’s need for community-based neurobehavioral rehabilitation, and Iowa Medicaid or the member’s MCO has determined that the member is in need of specialty neurobehavioral rehabilitation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Standards for assessment. </w:t>
      </w:r>
      <w:r>
        <w:rPr>
          <w:rFonts w:ascii="Times New Roman" w:hAnsi="Times New Roman"/>
          <w:b w:val="false"/>
          <w:i w:val="false"/>
          <w:color w:val="000000"/>
          <w:sz w:val="24"/>
        </w:rPr>
        <w:t xml:space="preserve">Each member will have had the MPAI assessment completed within the 90 days prior to admission. In addition to the functional assessment, the needs assessment will have been completed and will include the assessment of a member’s individual physical, emotional, cognitive, medical and psychosocial residuals related to the member’s brain injury and must include the following: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Identification of the neurobehavioral needs that put the member at risk, including but not limited to verbal aggression, physical aggression, self-harm, unwanted sexual behavior, cognitive and or behavioral perseveration, wandering or elopement, lack of motivation, lack of initiation or other unwanted social behaviors not otherwise specified.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Identification of triggers of unwanted behaviors and the member’s ability to self-manage the member’s symptoms.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member’s rehabilitation and medical care history to include medication history and status.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member’s employment history and the member’s barriers to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member’s dietary and nutritional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member’s community accessibility and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The member’s access to transportation.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member’s history of substance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The member’s vulnerability to exploitation and history of risk of exploitation.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The member’s history and status of relationships, natural supports and socialization.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Emergency admission. </w:t>
      </w:r>
      <w:r>
        <w:rPr>
          <w:rFonts w:ascii="Times New Roman" w:hAnsi="Times New Roman"/>
          <w:b w:val="false"/>
          <w:i w:val="false"/>
          <w:color w:val="000000"/>
          <w:sz w:val="24"/>
        </w:rPr>
        <w:t>In the event that emergency admission is required, the assessment shall be completed within ten calendar days of admission.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78.55(3)</w:t>
      </w:r>
      <w:r>
        <w:rPr>
          <w:rFonts w:ascii="Times New Roman" w:hAnsi="Times New Roman"/>
          <w:b w:val="false"/>
          <w:i w:val="false"/>
          <w:color w:val="000000"/>
          <w:sz w:val="24"/>
        </w:rPr>
        <w:t> </w:t>
      </w:r>
      <w:r>
        <w:rPr>
          <w:rFonts w:ascii="Times New Roman" w:hAnsi="Times New Roman"/>
          <w:b w:val="false"/>
          <w:i/>
          <w:color w:val="000000"/>
          <w:sz w:val="24"/>
        </w:rPr>
        <w:t xml:space="preserve">Covered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Service setting.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Community-based neurobehavioral residential rehabilitation services are provided to a member living in a three-to-five-bed residential care facility with a specialized license designation issued by the department of inspections, appeals, and licensing;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Community-based neurobehavioral intermittent rehabilitation services are provided to a member living in the member’s own residence in the community. </w:t>
      </w:r>
    </w:p>
    <w:p>
      <w:pPr>
        <w:spacing w:before="0" w:after="0" w:line="480"/>
        <w:ind w:left="120"/>
        <w:jc w:val="both"/>
      </w:pPr>
      <w:r>
        <w:rPr>
          <w:rFonts w:ascii="Times New Roman" w:hAnsi="Times New Roman"/>
          <w:b w:val="false"/>
          <w:i w:val="false"/>
          <w:color w:val="000000"/>
          <w:sz w:val="24"/>
        </w:rPr>
        <w:t>No payment shall be made for community-based neurobehavioral rehabilitation when provided in a medical institution such as an ICF/ID, nursing facility or skilled nursing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Community-based neurobehavioral rehabilitation residential services identified in the treatment plan may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Prescriptive programming to maintain and advance progress made in rehabilitation;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Modifying or adapting the member’s environment to improve overall functioning;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Assistance in obtaining preventative, appropriate and timely medical and dental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Compensatory strategies to assist in managing ADLs;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Assistance with coordinating and obtaining physical, oral, or mental health care and any other professional services necessary to the member’s health and well-being;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Behavioral and cognitive programming and supports;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Medication management and consultation with pharmacy;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Health and wellness management including dietary and nutritional programming;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Progressive physical strengthening, fitness and retraining;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 xml:space="preserve">Assistance with obtaining and use of assistive technology;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Sobriety support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Assistance with the self-identification of antecedent triggers;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Assistance with preparation for transition to less intensive services including accessing the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Flexibility in programming to meet individual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Assistance with re-learning coping and compensatory strategies;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Support and assistance in seeking substance use and co-occurring disorders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(17)</w:t>
      </w:r>
      <w:r>
        <w:rPr>
          <w:rFonts w:ascii="Times New Roman" w:hAnsi="Times New Roman"/>
          <w:b w:val="false"/>
          <w:i w:val="false"/>
          <w:color w:val="000000"/>
          <w:sz w:val="24"/>
        </w:rPr>
        <w:t>  </w:t>
      </w:r>
      <w:r>
        <w:rPr>
          <w:rFonts w:ascii="Times New Roman" w:hAnsi="Times New Roman"/>
          <w:b w:val="false"/>
          <w:i w:val="false"/>
          <w:color w:val="000000"/>
          <w:sz w:val="24"/>
        </w:rPr>
        <w:t>Support and assistance with obtaining legal consultation and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(18)</w:t>
      </w:r>
      <w:r>
        <w:rPr>
          <w:rFonts w:ascii="Times New Roman" w:hAnsi="Times New Roman"/>
          <w:b w:val="false"/>
          <w:i w:val="false"/>
          <w:color w:val="000000"/>
          <w:sz w:val="24"/>
        </w:rPr>
        <w:t>  </w:t>
      </w:r>
      <w:r>
        <w:rPr>
          <w:rFonts w:ascii="Times New Roman" w:hAnsi="Times New Roman"/>
          <w:b w:val="false"/>
          <w:i w:val="false"/>
          <w:color w:val="000000"/>
          <w:sz w:val="24"/>
        </w:rPr>
        <w:t xml:space="preserve">Assistance with community accessibility and safety;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(19)</w:t>
      </w:r>
      <w:r>
        <w:rPr>
          <w:rFonts w:ascii="Times New Roman" w:hAnsi="Times New Roman"/>
          <w:b w:val="false"/>
          <w:i w:val="false"/>
          <w:color w:val="000000"/>
          <w:sz w:val="24"/>
        </w:rPr>
        <w:t>  </w:t>
      </w:r>
      <w:r>
        <w:rPr>
          <w:rFonts w:ascii="Times New Roman" w:hAnsi="Times New Roman"/>
          <w:b w:val="false"/>
          <w:i w:val="false"/>
          <w:color w:val="000000"/>
          <w:sz w:val="24"/>
        </w:rPr>
        <w:t>Assistance with re-learning household maintenance;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(20)</w:t>
      </w:r>
      <w:r>
        <w:rPr>
          <w:rFonts w:ascii="Times New Roman" w:hAnsi="Times New Roman"/>
          <w:b w:val="false"/>
          <w:i w:val="false"/>
          <w:color w:val="000000"/>
          <w:sz w:val="24"/>
        </w:rPr>
        <w:t>  </w:t>
      </w:r>
      <w:r>
        <w:rPr>
          <w:rFonts w:ascii="Times New Roman" w:hAnsi="Times New Roman"/>
          <w:b w:val="false"/>
          <w:i w:val="false"/>
          <w:color w:val="000000"/>
          <w:sz w:val="24"/>
        </w:rPr>
        <w:t xml:space="preserve">Assistance with recreational and leisure skill development;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(21)</w:t>
      </w:r>
      <w:r>
        <w:rPr>
          <w:rFonts w:ascii="Times New Roman" w:hAnsi="Times New Roman"/>
          <w:b w:val="false"/>
          <w:i w:val="false"/>
          <w:color w:val="000000"/>
          <w:sz w:val="24"/>
        </w:rPr>
        <w:t>  </w:t>
      </w:r>
      <w:r>
        <w:rPr>
          <w:rFonts w:ascii="Times New Roman" w:hAnsi="Times New Roman"/>
          <w:b w:val="false"/>
          <w:i w:val="false"/>
          <w:color w:val="000000"/>
          <w:sz w:val="24"/>
        </w:rPr>
        <w:t>Assistance with the development and application of self-advocacy skills to navigate the service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(22)</w:t>
      </w:r>
      <w:r>
        <w:rPr>
          <w:rFonts w:ascii="Times New Roman" w:hAnsi="Times New Roman"/>
          <w:b w:val="false"/>
          <w:i w:val="false"/>
          <w:color w:val="000000"/>
          <w:sz w:val="24"/>
        </w:rPr>
        <w:t>  </w:t>
      </w:r>
      <w:r>
        <w:rPr>
          <w:rFonts w:ascii="Times New Roman" w:hAnsi="Times New Roman"/>
          <w:b w:val="false"/>
          <w:i w:val="false"/>
          <w:color w:val="000000"/>
          <w:sz w:val="24"/>
        </w:rPr>
        <w:t>Opportunities to learn about brain injury and individual needs following brain injury;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(23)</w:t>
      </w:r>
      <w:r>
        <w:rPr>
          <w:rFonts w:ascii="Times New Roman" w:hAnsi="Times New Roman"/>
          <w:b w:val="false"/>
          <w:i w:val="false"/>
          <w:color w:val="000000"/>
          <w:sz w:val="24"/>
        </w:rPr>
        <w:t>  </w:t>
      </w:r>
      <w:r>
        <w:rPr>
          <w:rFonts w:ascii="Times New Roman" w:hAnsi="Times New Roman"/>
          <w:b w:val="false"/>
          <w:i w:val="false"/>
          <w:color w:val="000000"/>
          <w:sz w:val="24"/>
        </w:rPr>
        <w:t>Support for carrying out the member’s individual goals in the rehabilitation treatment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(24)</w:t>
      </w:r>
      <w:r>
        <w:rPr>
          <w:rFonts w:ascii="Times New Roman" w:hAnsi="Times New Roman"/>
          <w:b w:val="false"/>
          <w:i w:val="false"/>
          <w:color w:val="000000"/>
          <w:sz w:val="24"/>
        </w:rPr>
        <w:t>  </w:t>
      </w:r>
      <w:r>
        <w:rPr>
          <w:rFonts w:ascii="Times New Roman" w:hAnsi="Times New Roman"/>
          <w:b w:val="false"/>
          <w:i w:val="false"/>
          <w:color w:val="000000"/>
          <w:sz w:val="24"/>
        </w:rPr>
        <w:t>Assistance with pursuit of education and employment goals;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(25)</w:t>
      </w:r>
      <w:r>
        <w:rPr>
          <w:rFonts w:ascii="Times New Roman" w:hAnsi="Times New Roman"/>
          <w:b w:val="false"/>
          <w:i w:val="false"/>
          <w:color w:val="000000"/>
          <w:sz w:val="24"/>
        </w:rPr>
        <w:t>  </w:t>
      </w:r>
      <w:r>
        <w:rPr>
          <w:rFonts w:ascii="Times New Roman" w:hAnsi="Times New Roman"/>
          <w:b w:val="false"/>
          <w:i w:val="false"/>
          <w:color w:val="000000"/>
          <w:sz w:val="24"/>
        </w:rPr>
        <w:t>Protective oversight in the residential setting and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(26)</w:t>
      </w:r>
      <w:r>
        <w:rPr>
          <w:rFonts w:ascii="Times New Roman" w:hAnsi="Times New Roman"/>
          <w:b w:val="false"/>
          <w:i w:val="false"/>
          <w:color w:val="000000"/>
          <w:sz w:val="24"/>
        </w:rPr>
        <w:t>  </w:t>
      </w:r>
      <w:r>
        <w:rPr>
          <w:rFonts w:ascii="Times New Roman" w:hAnsi="Times New Roman"/>
          <w:b w:val="false"/>
          <w:i w:val="false"/>
          <w:color w:val="000000"/>
          <w:sz w:val="24"/>
        </w:rPr>
        <w:t>Assistance and education to family, providers and other support system interests that are supporting the member receiving neurobehavioral rehabilitation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(27)</w:t>
      </w:r>
      <w:r>
        <w:rPr>
          <w:rFonts w:ascii="Times New Roman" w:hAnsi="Times New Roman"/>
          <w:b w:val="false"/>
          <w:i w:val="false"/>
          <w:color w:val="000000"/>
          <w:sz w:val="24"/>
        </w:rPr>
        <w:t>  </w:t>
      </w:r>
      <w:r>
        <w:rPr>
          <w:rFonts w:ascii="Times New Roman" w:hAnsi="Times New Roman"/>
          <w:b w:val="false"/>
          <w:i w:val="false"/>
          <w:color w:val="000000"/>
          <w:sz w:val="24"/>
        </w:rPr>
        <w:t xml:space="preserve">Transitional support and training;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(28)</w:t>
      </w:r>
      <w:r>
        <w:rPr>
          <w:rFonts w:ascii="Times New Roman" w:hAnsi="Times New Roman"/>
          <w:b w:val="false"/>
          <w:i w:val="false"/>
          <w:color w:val="000000"/>
          <w:sz w:val="24"/>
        </w:rPr>
        <w:t>  </w:t>
      </w:r>
      <w:r>
        <w:rPr>
          <w:rFonts w:ascii="Times New Roman" w:hAnsi="Times New Roman"/>
          <w:b w:val="false"/>
          <w:i w:val="false"/>
          <w:color w:val="000000"/>
          <w:sz w:val="24"/>
        </w:rPr>
        <w:t>Transportation essential to the attainment of the member’s individual goals in the rehabilitation treatment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(29)</w:t>
      </w:r>
      <w:r>
        <w:rPr>
          <w:rFonts w:ascii="Times New Roman" w:hAnsi="Times New Roman"/>
          <w:b w:val="false"/>
          <w:i w:val="false"/>
          <w:color w:val="000000"/>
          <w:sz w:val="24"/>
        </w:rPr>
        <w:t>  </w:t>
      </w:r>
      <w:r>
        <w:rPr>
          <w:rFonts w:ascii="Times New Roman" w:hAnsi="Times New Roman"/>
          <w:b w:val="false"/>
          <w:i w:val="false"/>
          <w:color w:val="000000"/>
          <w:sz w:val="24"/>
        </w:rPr>
        <w:t xml:space="preserve">Promotion of a program structure and support for members served so they can relearn or regain skills for maximum independence, community access, and integration.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Community-based neurobehavioral rehabilitation intermittent services identified in the treatment plan may occur in the member’s own home with or on behalf of the member and may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Promotion of a program structure and support for members served so they can re-learn or regain skills for maximum community inclusion and access;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Modifying or adapting the member’s environment to improve overall functioning;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Compensatory strategies to assist in managing ADLs;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Behavioral supports;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Assistance with obtaining and use of assistive technology;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Assistance with the self-identification of antecedent triggers;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Flexibility in programming to meet the member’s individual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Assistance with re-learning coping and compensatory strategies;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Assistance with the development and application of self-advocacy skills to navigate the service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Support for carrying out the member’s individual goals in the rehabilitation treatment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Assistance and education to family, providers and other support system interests that are supporting the member receiving community-based neurobehavioral rehabilitation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Transitional support and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Transportation essential to the attainment of the member’s individual goals in the rehabilitation treatment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Approval of treatment plan. The community-based neurobehavioral services provider shall submit the proposed plan of care, the results of the member’s formal assessment, and medical documentation supporting a brain injury diagnosis to Iowa Medicaid for approval before providing the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Initial treatment plan. Within 30 days of admission, the provider shall submit the member’s treatment plan to Iowa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Iowa Medicaid will approve the provider’s treatment plan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treatment plan conforms to the medical necessity requirements in subrule </w:t>
      </w:r>
      <w:hyperlink r:id="rId355">
        <w:r>
          <w:rPr>
            <w:rStyle w:val="Hyperlink"/>
            <w:rFonts w:ascii="Times New Roman" w:hAnsi="Times New Roman"/>
            <w:b w:val="false"/>
            <w:i w:val="false"/>
            <w:color w:val="000000"/>
            <w:sz w:val="24"/>
          </w:rPr>
          <w:t>78.55(4)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treatment plan is consistent with the written diagnosis and treatment recommendations made by a licensed medical professional that is a licensed neuropsychologist or neurologist, M.D., or D.O.;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treatment plan is sufficient in amount, duration, and scope to reasonably achieve its purpose;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provider can demonstrate that the provider possesses the skills and resources necessary to implement the plan;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treatment plan does not exceed 180 days in duration.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treatment summary detailing the member’s response to treatment during the previous approval period must be submitted when approval for subsequent plans is requested.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Subsequent plans. Iowa Medicaid may approve a subsequent neurobehavioral rehabilitation treatment plan that conforms to the conditions of medical necessity pursuant to subrule </w:t>
      </w:r>
      <w:hyperlink r:id="rId356">
        <w:r>
          <w:rPr>
            <w:rStyle w:val="Hyperlink"/>
            <w:rFonts w:ascii="Times New Roman" w:hAnsi="Times New Roman"/>
            <w:b w:val="false"/>
            <w:i w:val="false"/>
            <w:color w:val="000000"/>
            <w:sz w:val="24"/>
          </w:rPr>
          <w:t>78.55(4)</w:t>
        </w:r>
      </w:hyperlink>
      <w:r>
        <w:rPr>
          <w:rFonts w:ascii="Times New Roman" w:hAnsi="Times New Roman"/>
          <w:b w:val="false"/>
          <w:i w:val="false"/>
          <w:color w:val="000000"/>
          <w:sz w:val="24"/>
        </w:rPr>
        <w:t xml:space="preserve"> and to the conditions pursuant to subrule </w:t>
      </w:r>
      <w:hyperlink r:id="rId357">
        <w:r>
          <w:rPr>
            <w:rStyle w:val="Hyperlink"/>
            <w:rFonts w:ascii="Times New Roman" w:hAnsi="Times New Roman"/>
            <w:b w:val="false"/>
            <w:i w:val="false"/>
            <w:color w:val="000000"/>
            <w:sz w:val="24"/>
          </w:rPr>
          <w:t>78.55(3)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Quality review. Iowa Medicaid may perform the quality review to evaluate: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time elapsed from referral to rehabilitation treatment plan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continuity of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length of stay per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affiliation of the medical professional recommending services with the neurobehavioral rehabilitation services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Gaps in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results achieved;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Member and stakeholder satisfaction;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provider’s compliance with standards listed in rule </w:t>
      </w:r>
      <w:hyperlink r:id="rId358">
        <w:r>
          <w:rPr>
            <w:rStyle w:val="Hyperlink"/>
            <w:rFonts w:ascii="Times New Roman" w:hAnsi="Times New Roman"/>
            <w:b w:val="false"/>
            <w:i w:val="false"/>
            <w:color w:val="000000"/>
            <w:sz w:val="24"/>
          </w:rPr>
          <w:t>441—77.53</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78.55(4)</w:t>
      </w:r>
      <w:r>
        <w:rPr>
          <w:rFonts w:ascii="Times New Roman" w:hAnsi="Times New Roman"/>
          <w:b w:val="false"/>
          <w:i w:val="false"/>
          <w:color w:val="000000"/>
          <w:sz w:val="24"/>
        </w:rPr>
        <w:t> </w:t>
      </w:r>
      <w:r>
        <w:rPr>
          <w:rFonts w:ascii="Times New Roman" w:hAnsi="Times New Roman"/>
          <w:b w:val="false"/>
          <w:i/>
          <w:color w:val="000000"/>
          <w:sz w:val="24"/>
        </w:rPr>
        <w:t xml:space="preserve">Medical necessity. </w:t>
      </w:r>
      <w:r>
        <w:rPr>
          <w:rFonts w:ascii="Times New Roman" w:hAnsi="Times New Roman"/>
          <w:b w:val="false"/>
          <w:i w:val="false"/>
          <w:color w:val="000000"/>
          <w:sz w:val="24"/>
        </w:rPr>
        <w:t>Nothing in this rule will be deemed to exempt coverage of community-based neurobehavioral rehabilitation services from the requirement that services be medically necessary. “Medically necessary” means that the service 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Consistent with the diagnosis and treatment of the member’s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Required to meet the medical needs of the member and is needed for reasons other than the convenience of the member or the member’s caregiver;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least costly type of service that can reasonably meet the medical needs of the member;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 accordance with the standards of good medical practice. The standards of good practice for each field of medical and remedial care covered by the Iowa Medicaid program are those standards of good practice identified by: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Knowledgeable Iowa clinicians practicing or teaching in the field;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professional literature regarding best practices in the field.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78.55(5)</w:t>
      </w:r>
      <w:r>
        <w:rPr>
          <w:rFonts w:ascii="Times New Roman" w:hAnsi="Times New Roman"/>
          <w:b w:val="false"/>
          <w:i w:val="false"/>
          <w:color w:val="000000"/>
          <w:sz w:val="24"/>
        </w:rPr>
        <w:t> </w:t>
      </w:r>
      <w:r>
        <w:rPr>
          <w:rFonts w:ascii="Times New Roman" w:hAnsi="Times New Roman"/>
          <w:b w:val="false"/>
          <w:i/>
          <w:color w:val="000000"/>
          <w:sz w:val="24"/>
        </w:rPr>
        <w:t xml:space="preserve">Documentation standards. </w:t>
      </w:r>
      <w:r>
        <w:rPr>
          <w:rFonts w:ascii="Times New Roman" w:hAnsi="Times New Roman"/>
          <w:b w:val="false"/>
          <w:i w:val="false"/>
          <w:color w:val="000000"/>
          <w:sz w:val="24"/>
        </w:rPr>
        <w:t xml:space="preserve">Community-based neurobehavioral rehabilitation service providers shall maintain service provision records, financial records, and clinical records in accordance with the provisions of rule </w:t>
      </w:r>
      <w:hyperlink r:id="rId359">
        <w:r>
          <w:rPr>
            <w:rStyle w:val="Hyperlink"/>
            <w:rFonts w:ascii="Times New Roman" w:hAnsi="Times New Roman"/>
            <w:b w:val="false"/>
            <w:i w:val="false"/>
            <w:color w:val="000000"/>
            <w:sz w:val="24"/>
          </w:rPr>
          <w:t>441—79.3</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i w:val="false"/>
          <w:color w:val="000000"/>
          <w:sz w:val="24"/>
        </w:rPr>
        <w:t>441—78.56</w:t>
      </w:r>
      <w:r>
        <w:rPr>
          <w:rFonts w:ascii="Times New Roman" w:hAnsi="Times New Roman"/>
          <w:b/>
          <w:i w:val="false"/>
          <w:color w:val="000000"/>
          <w:sz w:val="24"/>
        </w:rPr>
        <w:t xml:space="preserve">(249A) </w:t>
      </w:r>
      <w:r>
        <w:rPr>
          <w:rFonts w:ascii="Times New Roman" w:hAnsi="Times New Roman"/>
          <w:b/>
          <w:i w:val="false"/>
          <w:color w:val="000000"/>
          <w:sz w:val="24"/>
        </w:rPr>
        <w:t xml:space="preserve">Child care medical services. </w:t>
      </w:r>
      <w:r>
        <w:rPr>
          <w:rFonts w:ascii="Times New Roman" w:hAnsi="Times New Roman"/>
          <w:b w:val="false"/>
          <w:i w:val="false"/>
          <w:color w:val="000000"/>
          <w:sz w:val="24"/>
        </w:rPr>
        <w:t xml:space="preserve">Payments will be made to licensed child care centers that provide medical services in addition to child care. Medically necessary services are provided under a plan of care that is developed by licensed professionals within their scope of practice and authorized by the member’s physician. The services include and implement a comprehensive protocol of care that is developed in conjunction with the parent or guardian and specifies the medical, nursing, personal care, psychosocial and developmental therapies required by the medically dependent or technologically dependent child served.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78.56(1)</w:t>
      </w:r>
      <w:r>
        <w:rPr>
          <w:rFonts w:ascii="Times New Roman" w:hAnsi="Times New Roman"/>
          <w:b w:val="false"/>
          <w:i w:val="false"/>
          <w:color w:val="000000"/>
          <w:sz w:val="24"/>
        </w:rPr>
        <w:t> </w:t>
      </w:r>
      <w:r>
        <w:rPr>
          <w:rFonts w:ascii="Times New Roman" w:hAnsi="Times New Roman"/>
          <w:b w:val="false"/>
          <w:i w:val="false"/>
          <w:color w:val="000000"/>
          <w:sz w:val="24"/>
        </w:rPr>
        <w:t xml:space="preserve">Nursing services are services that are provided by a registered nurse or a licensed practical nurse under the direction of the member’s physician to a member in a licensed child care center. Nursing services shall be provided according to a written plan of care authorized by a physician. Payment for nursing services may be approved if the services are determined to be medically necessary as defined in subrule </w:t>
      </w:r>
      <w:hyperlink r:id="rId360">
        <w:r>
          <w:rPr>
            <w:rStyle w:val="Hyperlink"/>
            <w:rFonts w:ascii="Times New Roman" w:hAnsi="Times New Roman"/>
            <w:b w:val="false"/>
            <w:i w:val="false"/>
            <w:color w:val="000000"/>
            <w:sz w:val="24"/>
          </w:rPr>
          <w:t>78.56(5)</w:t>
        </w:r>
      </w:hyperlink>
      <w:r>
        <w:rPr>
          <w:rFonts w:ascii="Times New Roman" w:hAnsi="Times New Roman"/>
          <w:b w:val="false"/>
          <w:i w:val="false"/>
          <w:color w:val="000000"/>
          <w:sz w:val="24"/>
        </w:rPr>
        <w:t xml:space="preserve">. Nursing services include activities that require the expertise of a nurse, such as physical assessment, tracheostomy care, medication administration, and tube feedings.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78.56(2)</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Personal care services are those services that are provided by an aide but are delegated and supervised by a registered nurse under the direction of the member’s physician. Payment for personal care services may be approved if the services are determined to be medically necessary as defined in subrule </w:t>
      </w:r>
      <w:hyperlink r:id="rId361">
        <w:r>
          <w:rPr>
            <w:rStyle w:val="Hyperlink"/>
            <w:rFonts w:ascii="Times New Roman" w:hAnsi="Times New Roman"/>
            <w:b w:val="false"/>
            <w:i w:val="false"/>
            <w:color w:val="000000"/>
            <w:sz w:val="24"/>
          </w:rPr>
          <w:t>78.56(5)</w:t>
        </w:r>
      </w:hyperlink>
      <w:r>
        <w:rPr>
          <w:rFonts w:ascii="Times New Roman" w:hAnsi="Times New Roman"/>
          <w:b w:val="false"/>
          <w:i w:val="false"/>
          <w:color w:val="000000"/>
          <w:sz w:val="24"/>
        </w:rPr>
        <w:t>. Personal care services shall be in accordance with the member’s plan of care and authorized by a physician. Personal care services include the activities of daily living, oral hygiene, grooming, toileting, feeding, range of motion and positioning, and training the member in necessary self-help skills, including teaching prosocial skills and reinforcing positive interactions.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78.56(3)</w:t>
      </w:r>
      <w:r>
        <w:rPr>
          <w:rFonts w:ascii="Times New Roman" w:hAnsi="Times New Roman"/>
          <w:b w:val="false"/>
          <w:i w:val="false"/>
          <w:color w:val="000000"/>
          <w:sz w:val="24"/>
        </w:rPr>
        <w:t> </w:t>
      </w:r>
      <w:r>
        <w:rPr>
          <w:rFonts w:ascii="Times New Roman" w:hAnsi="Times New Roman"/>
          <w:b w:val="false"/>
          <w:i w:val="false"/>
          <w:color w:val="000000"/>
          <w:sz w:val="24"/>
        </w:rPr>
        <w:t xml:space="preserve">Psychosocial services are those services that focus at decreasing or eliminating maladaptive behaviors. Payment for psychosocial services may be approved if the services are determined to be medically necessary as defined in subrule </w:t>
      </w:r>
      <w:hyperlink r:id="rId362">
        <w:r>
          <w:rPr>
            <w:rStyle w:val="Hyperlink"/>
            <w:rFonts w:ascii="Times New Roman" w:hAnsi="Times New Roman"/>
            <w:b w:val="false"/>
            <w:i w:val="false"/>
            <w:color w:val="000000"/>
            <w:sz w:val="24"/>
          </w:rPr>
          <w:t>78.56(5)</w:t>
        </w:r>
      </w:hyperlink>
      <w:r>
        <w:rPr>
          <w:rFonts w:ascii="Times New Roman" w:hAnsi="Times New Roman"/>
          <w:b w:val="false"/>
          <w:i w:val="false"/>
          <w:color w:val="000000"/>
          <w:sz w:val="24"/>
        </w:rPr>
        <w:t>. Psychosocial services shall be in accordance with the member’s plan of care and authorized by a physician. Psychosocial services include implementing a plan using clinically accepted techniques for decreasing or eliminating maladaptive behaviors. Psychosocial intervention plans must be developed and reviewed by licensed mental health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78.56(4)</w:t>
      </w:r>
      <w:r>
        <w:rPr>
          <w:rFonts w:ascii="Times New Roman" w:hAnsi="Times New Roman"/>
          <w:b w:val="false"/>
          <w:i w:val="false"/>
          <w:color w:val="000000"/>
          <w:sz w:val="24"/>
        </w:rPr>
        <w:t> </w:t>
      </w:r>
      <w:r>
        <w:rPr>
          <w:rFonts w:ascii="Times New Roman" w:hAnsi="Times New Roman"/>
          <w:b w:val="false"/>
          <w:i w:val="false"/>
          <w:color w:val="000000"/>
          <w:sz w:val="24"/>
        </w:rPr>
        <w:t xml:space="preserve">Developmental therapies are those services that are provided by an aide but are delegated and supervised by a licensed therapist under the direction of the member’s physician. Payment for developmental therapies may be approved if the services are determined to be medically necessary as defined in subrule </w:t>
      </w:r>
      <w:hyperlink r:id="rId363">
        <w:r>
          <w:rPr>
            <w:rStyle w:val="Hyperlink"/>
            <w:rFonts w:ascii="Times New Roman" w:hAnsi="Times New Roman"/>
            <w:b w:val="false"/>
            <w:i w:val="false"/>
            <w:color w:val="000000"/>
            <w:sz w:val="24"/>
          </w:rPr>
          <w:t>78.56(5)</w:t>
        </w:r>
      </w:hyperlink>
      <w:r>
        <w:rPr>
          <w:rFonts w:ascii="Times New Roman" w:hAnsi="Times New Roman"/>
          <w:b w:val="false"/>
          <w:i w:val="false"/>
          <w:color w:val="000000"/>
          <w:sz w:val="24"/>
        </w:rPr>
        <w:t>. Developmental therapies shall be in accordance with the member’s plan of care and authorized by a physician. Developmental therapies include activities based on the individual’s needs such as fine motor, gross motor, and receptive expressive language.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78.56(5)</w:t>
      </w:r>
      <w:r>
        <w:rPr>
          <w:rFonts w:ascii="Times New Roman" w:hAnsi="Times New Roman"/>
          <w:b w:val="false"/>
          <w:i w:val="false"/>
          <w:color w:val="000000"/>
          <w:sz w:val="24"/>
        </w:rPr>
        <w:t> </w:t>
      </w:r>
      <w:r>
        <w:rPr>
          <w:rFonts w:ascii="Times New Roman" w:hAnsi="Times New Roman"/>
          <w:b w:val="false"/>
          <w:i w:val="false"/>
          <w:color w:val="000000"/>
          <w:sz w:val="24"/>
        </w:rPr>
        <w:t>“Medically necessary” means the service is reasonably calculated to prevent, diagnose, correct, cure, alleviate or prevent the worsening of conditions that endanger life, cause pain, result in illness or infirmity, or threaten to cause or aggravate a disability or chronic illness and is an effective course of treatment for the member requesting a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78.56(6)</w:t>
      </w:r>
      <w:r>
        <w:rPr>
          <w:rFonts w:ascii="Times New Roman" w:hAnsi="Times New Roman"/>
          <w:b w:val="false"/>
          <w:i w:val="false"/>
          <w:color w:val="000000"/>
          <w:sz w:val="24"/>
        </w:rPr>
        <w:t> </w:t>
      </w:r>
      <w:r>
        <w:rPr>
          <w:rFonts w:ascii="Times New Roman" w:hAnsi="Times New Roman"/>
          <w:b w:val="false"/>
          <w:i w:val="false"/>
          <w:color w:val="000000"/>
          <w:sz w:val="24"/>
        </w:rPr>
        <w:t>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Nursing, psychosocial, developmental therapies and personal care services shall be ordered in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Nursing, psychosocial, developmental therapies and personal care services shall be authorized by the department or the department’s designated review agent prior to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Prior authorization shall be requested at the time of initial submission of the plan of care or at any time the plan of care is substantially amended and shall be renewed with the department or the department’s designated review agent. Initial request for and request for renewal of prior authorization shall be submitted to the department’s designated review agent. The provider of the service is responsible for requesting prior authorization and for obtaining renewal of prior authorization. The request for prior authorization shall include a nursing assessment, the plan of care, and supporting documentation. A treatment plan shall be completed prior to the start of care and at a minimum reviewed every 180 days thereafter. The plan of care shall support the medical necessity and intensity of services to be provided by reflecting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Place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Type of service to be rendered and the treatment modalities being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Frequency of the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Assistance devices to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Date on which services were initiated.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Progress of member in response to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Medical supplies to be furnished.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Member’s medical condition as reflected by the following information,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Dates of prior hospitalization.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Dates of prior surgery.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Date last seen by a primary care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Diagnoses and dates of onset of diagnoses for which treatment is being rendered.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Prognosis.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Functional limitations.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Vital signs reading.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Date of last episode of acute recurrence of illness or symptoms.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Medications.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Discipline of the person providing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 xml:space="preserve">Certification period.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Physician’s signature and date. The treatment plan must be signed and dated by the physician before the claim for service is submitted for reimbursement.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The appropriate department form is utilized during the prior authorization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78.56(7)</w:t>
      </w:r>
      <w:r>
        <w:rPr>
          <w:rFonts w:ascii="Times New Roman" w:hAnsi="Times New Roman"/>
          <w:b w:val="false"/>
          <w:i w:val="false"/>
          <w:color w:val="000000"/>
          <w:sz w:val="24"/>
        </w:rPr>
        <w:t> </w:t>
      </w:r>
      <w:r>
        <w:rPr>
          <w:rFonts w:ascii="Times New Roman" w:hAnsi="Times New Roman"/>
          <w:b w:val="false"/>
          <w:i w:val="false"/>
          <w:color w:val="000000"/>
          <w:sz w:val="24"/>
        </w:rPr>
        <w:t>Nursing, personal care, and psychosocial services do not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Services provided to members aged 21 and 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Services that require prior authorizations that are provided without regard to the prior authorization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Nursing services provided simultaneously with other Medicaid services (e.g., home health aide, physical, occupational, or speech therapy services, etc.).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Services that exceed the services that are approvable under the private duty nursing and personal care program pursuant to subrule </w:t>
      </w:r>
      <w:hyperlink r:id="rId364">
        <w:r>
          <w:rPr>
            <w:rStyle w:val="Hyperlink"/>
            <w:rFonts w:ascii="Times New Roman" w:hAnsi="Times New Roman"/>
            <w:b w:val="false"/>
            <w:i w:val="false"/>
            <w:color w:val="000000"/>
            <w:sz w:val="24"/>
          </w:rPr>
          <w:t>78.9(10)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Transportation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Services provided to a member while the member is in institutional care.</w:t>
      </w:r>
    </w:p>
    <w:p>
      <w:pPr>
        <w:spacing w:before="0" w:after="0" w:line="480"/>
        <w:ind w:left="120"/>
        <w:jc w:val="both"/>
      </w:pPr>
      <w:r>
        <w:rPr>
          <w:rFonts w:ascii="Times New Roman" w:hAnsi="Times New Roman"/>
          <w:b/>
          <w:i w:val="false"/>
          <w:color w:val="000000"/>
          <w:sz w:val="24"/>
        </w:rPr>
        <w:t>441—78.57</w:t>
      </w:r>
      <w:r>
        <w:rPr>
          <w:rFonts w:ascii="Times New Roman" w:hAnsi="Times New Roman"/>
          <w:b/>
          <w:i w:val="false"/>
          <w:color w:val="000000"/>
          <w:sz w:val="24"/>
        </w:rPr>
        <w:t xml:space="preserve">(249A) </w:t>
      </w:r>
      <w:r>
        <w:rPr>
          <w:rFonts w:ascii="Times New Roman" w:hAnsi="Times New Roman"/>
          <w:b/>
          <w:i w:val="false"/>
          <w:color w:val="000000"/>
          <w:sz w:val="24"/>
        </w:rPr>
        <w:t xml:space="preserve">Qualified Medicare beneficiary (QMB) provider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78.57(1)</w:t>
      </w:r>
      <w:r>
        <w:rPr>
          <w:rFonts w:ascii="Times New Roman" w:hAnsi="Times New Roman"/>
          <w:b w:val="false"/>
          <w:i w:val="false"/>
          <w:color w:val="000000"/>
          <w:sz w:val="24"/>
        </w:rPr>
        <w:t> </w:t>
      </w:r>
      <w:r>
        <w:rPr>
          <w:rFonts w:ascii="Times New Roman" w:hAnsi="Times New Roman"/>
          <w:b w:val="false"/>
          <w:i/>
          <w:color w:val="000000"/>
          <w:sz w:val="24"/>
        </w:rPr>
        <w:t xml:space="preserve">Payment. </w:t>
      </w:r>
      <w:r>
        <w:rPr>
          <w:rFonts w:ascii="Times New Roman" w:hAnsi="Times New Roman"/>
          <w:b w:val="false"/>
          <w:i w:val="false"/>
          <w:color w:val="000000"/>
          <w:sz w:val="24"/>
        </w:rPr>
        <w:t xml:space="preserve">Payment will be made to QMB providers for a QMB-eligible member’s coinsurance, copayment, and deductible for Medicare-covered services. The eligible member may be responsible for copayments pursuant to </w:t>
      </w:r>
      <w:hyperlink r:id="rId365">
        <w:r>
          <w:rPr>
            <w:rStyle w:val="Hyperlink"/>
            <w:rFonts w:ascii="Times New Roman" w:hAnsi="Times New Roman"/>
            <w:b w:val="false"/>
            <w:i w:val="false"/>
            <w:color w:val="000000"/>
            <w:sz w:val="24"/>
          </w:rPr>
          <w:t>441—subrule 79.1(13)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78.57(2)</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“Coinsurance” </w:t>
      </w:r>
      <w:r>
        <w:rPr>
          <w:rFonts w:ascii="Times New Roman" w:hAnsi="Times New Roman"/>
          <w:b w:val="false"/>
          <w:i w:val="false"/>
          <w:color w:val="000000"/>
          <w:sz w:val="24"/>
        </w:rPr>
        <w:t>means a percentage of costs of a covered health care service that has to be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“Copayment” </w:t>
      </w:r>
      <w:r>
        <w:rPr>
          <w:rFonts w:ascii="Times New Roman" w:hAnsi="Times New Roman"/>
          <w:b w:val="false"/>
          <w:i w:val="false"/>
          <w:color w:val="000000"/>
          <w:sz w:val="24"/>
        </w:rPr>
        <w:t>means a fixed amount a member pays for a covered health care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“Deductible” </w:t>
      </w:r>
      <w:r>
        <w:rPr>
          <w:rFonts w:ascii="Times New Roman" w:hAnsi="Times New Roman"/>
          <w:b w:val="false"/>
          <w:i w:val="false"/>
          <w:color w:val="000000"/>
          <w:sz w:val="24"/>
        </w:rPr>
        <w:t>means the amount paid for covered health care services before the insurance plan will effect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“Medicare cost sharing” </w:t>
      </w:r>
      <w:r>
        <w:rPr>
          <w:rFonts w:ascii="Times New Roman" w:hAnsi="Times New Roman"/>
          <w:b w:val="false"/>
          <w:i w:val="false"/>
          <w:color w:val="000000"/>
          <w:sz w:val="24"/>
        </w:rPr>
        <w:t xml:space="preserve">means the Medicare member’s responsibility for a Medicare-covered service. “Medicare cost sharing” includes coinsurance, copayments, and deductibles.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“Qualified Medicare beneficiary”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“QMB” </w:t>
      </w:r>
      <w:r>
        <w:rPr>
          <w:rFonts w:ascii="Times New Roman" w:hAnsi="Times New Roman"/>
          <w:b w:val="false"/>
          <w:i w:val="false"/>
          <w:color w:val="000000"/>
          <w:sz w:val="24"/>
        </w:rPr>
        <w:t xml:space="preserve">means an individual who has been determined eligible for the QMB program pursuant to </w:t>
      </w:r>
      <w:hyperlink r:id="rId366">
        <w:r>
          <w:rPr>
            <w:rStyle w:val="Hyperlink"/>
            <w:rFonts w:ascii="Times New Roman" w:hAnsi="Times New Roman"/>
            <w:b w:val="false"/>
            <w:i w:val="false"/>
            <w:color w:val="000000"/>
            <w:sz w:val="24"/>
          </w:rPr>
          <w:t>441—paragraph 75.6(5)</w:t>
        </w:r>
        <w:r>
          <w:rPr>
            <w:rFonts w:ascii="Times New Roman" w:hAnsi="Times New Roman"/>
            <w:b w:val="false"/>
            <w:i/>
            <w:color w:val="000000"/>
            <w:sz w:val="24"/>
          </w:rPr>
          <w:t>“a.”</w:t>
        </w:r>
      </w:hyperlink>
      <w:r>
        <w:rPr>
          <w:rFonts w:ascii="Times New Roman" w:hAnsi="Times New Roman"/>
          <w:b w:val="false"/>
          <w:i w:val="false"/>
          <w:color w:val="000000"/>
          <w:sz w:val="24"/>
        </w:rPr>
        <w:t xml:space="preserve"> Under the QMB program, Medicaid pays the individual’s Medicare Part A and B premiums, coinsurance, copayment, and deductible (except for Part D). </w:t>
      </w:r>
    </w:p>
    <w:p>
      <w:pPr>
        <w:spacing w:before="0" w:after="0" w:line="480"/>
        <w:ind w:left="120"/>
        <w:jc w:val="both"/>
      </w:pPr>
      <w:r>
        <w:rPr>
          <w:rFonts w:ascii="Times New Roman" w:hAnsi="Times New Roman"/>
          <w:b/>
          <w:i w:val="false"/>
          <w:color w:val="000000"/>
          <w:sz w:val="24"/>
        </w:rPr>
        <w:t>441—78.58</w:t>
      </w:r>
      <w:r>
        <w:rPr>
          <w:rFonts w:ascii="Times New Roman" w:hAnsi="Times New Roman"/>
          <w:b/>
          <w:i w:val="false"/>
          <w:color w:val="000000"/>
          <w:sz w:val="24"/>
        </w:rPr>
        <w:t xml:space="preserve">(249A) </w:t>
      </w:r>
      <w:r>
        <w:rPr>
          <w:rFonts w:ascii="Times New Roman" w:hAnsi="Times New Roman"/>
          <w:b/>
          <w:i w:val="false"/>
          <w:color w:val="000000"/>
          <w:sz w:val="24"/>
        </w:rPr>
        <w:t xml:space="preserve">Health insurance premium payment (HIPP) provider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78.58(1)</w:t>
      </w:r>
      <w:r>
        <w:rPr>
          <w:rFonts w:ascii="Times New Roman" w:hAnsi="Times New Roman"/>
          <w:b w:val="false"/>
          <w:i w:val="false"/>
          <w:color w:val="000000"/>
          <w:sz w:val="24"/>
        </w:rPr>
        <w:t> </w:t>
      </w:r>
      <w:r>
        <w:rPr>
          <w:rFonts w:ascii="Times New Roman" w:hAnsi="Times New Roman"/>
          <w:b w:val="false"/>
          <w:i/>
          <w:color w:val="000000"/>
          <w:sz w:val="24"/>
        </w:rPr>
        <w:t xml:space="preserve">Reimbursement. </w:t>
      </w:r>
      <w:r>
        <w:rPr>
          <w:rFonts w:ascii="Times New Roman" w:hAnsi="Times New Roman"/>
          <w:b w:val="false"/>
          <w:i w:val="false"/>
          <w:color w:val="000000"/>
          <w:sz w:val="24"/>
        </w:rPr>
        <w:t xml:space="preserve">A HIPP provider may bill the department for the HIPP-eligible member’s out-of-pocket cost-sharing obligations. Reimbursement of claims is limited to in-network coinsurance, copayments, and deductibles of the HIPP-eligible member’s health insurance, paid for through the HIPP program. The HIPP-eligible member may be responsible for a copayment pursuant to </w:t>
      </w:r>
      <w:hyperlink r:id="rId367">
        <w:r>
          <w:rPr>
            <w:rStyle w:val="Hyperlink"/>
            <w:rFonts w:ascii="Times New Roman" w:hAnsi="Times New Roman"/>
            <w:b w:val="false"/>
            <w:i w:val="false"/>
            <w:color w:val="000000"/>
            <w:sz w:val="24"/>
          </w:rPr>
          <w:t>441—subrule 79.1(13)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78.58(2)</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“Coinsurance” </w:t>
      </w:r>
      <w:r>
        <w:rPr>
          <w:rFonts w:ascii="Times New Roman" w:hAnsi="Times New Roman"/>
          <w:b w:val="false"/>
          <w:i w:val="false"/>
          <w:color w:val="000000"/>
          <w:sz w:val="24"/>
        </w:rPr>
        <w:t>means a percentage of costs of a covered health care service that has to be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“Copayment” </w:t>
      </w:r>
      <w:r>
        <w:rPr>
          <w:rFonts w:ascii="Times New Roman" w:hAnsi="Times New Roman"/>
          <w:b w:val="false"/>
          <w:i w:val="false"/>
          <w:color w:val="000000"/>
          <w:sz w:val="24"/>
        </w:rPr>
        <w:t>means a fixed amount a member pays for a covered health care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“Cost sharing” </w:t>
      </w:r>
      <w:r>
        <w:rPr>
          <w:rFonts w:ascii="Times New Roman" w:hAnsi="Times New Roman"/>
          <w:b w:val="false"/>
          <w:i w:val="false"/>
          <w:color w:val="000000"/>
          <w:sz w:val="24"/>
        </w:rPr>
        <w:t>means the member’s health insurance in-network responsibility for a covered service. “Cost sharing” includes coinsurance, copayments, and deductibles.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“Deductible” </w:t>
      </w:r>
      <w:r>
        <w:rPr>
          <w:rFonts w:ascii="Times New Roman" w:hAnsi="Times New Roman"/>
          <w:b w:val="false"/>
          <w:i w:val="false"/>
          <w:color w:val="000000"/>
          <w:sz w:val="24"/>
        </w:rPr>
        <w:t>means the amount paid for covered health care services before the insurance plan will effect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“Eligible member” </w:t>
      </w:r>
      <w:r>
        <w:rPr>
          <w:rFonts w:ascii="Times New Roman" w:hAnsi="Times New Roman"/>
          <w:b w:val="false"/>
          <w:i w:val="false"/>
          <w:color w:val="000000"/>
          <w:sz w:val="24"/>
        </w:rPr>
        <w:t xml:space="preserve">means an individual eligible for Medicaid pursuant to rule </w:t>
      </w:r>
      <w:hyperlink r:id="rId368">
        <w:r>
          <w:rPr>
            <w:rStyle w:val="Hyperlink"/>
            <w:rFonts w:ascii="Times New Roman" w:hAnsi="Times New Roman"/>
            <w:b w:val="false"/>
            <w:i w:val="false"/>
            <w:color w:val="000000"/>
            <w:sz w:val="24"/>
          </w:rPr>
          <w:t>441—75.1</w:t>
        </w:r>
      </w:hyperlink>
      <w:r>
        <w:rPr>
          <w:rFonts w:ascii="Times New Roman" w:hAnsi="Times New Roman"/>
          <w:b w:val="false"/>
          <w:i w:val="false"/>
          <w:color w:val="000000"/>
          <w:sz w:val="24"/>
        </w:rPr>
        <w:t xml:space="preserve">(249A) et seq. and who qualifies for and is participating in the department’s HIPP program prescribed under rule </w:t>
      </w:r>
      <w:hyperlink r:id="rId369">
        <w:r>
          <w:rPr>
            <w:rStyle w:val="Hyperlink"/>
            <w:rFonts w:ascii="Times New Roman" w:hAnsi="Times New Roman"/>
            <w:b w:val="false"/>
            <w:i w:val="false"/>
            <w:color w:val="000000"/>
            <w:sz w:val="24"/>
          </w:rPr>
          <w:t>441—75.21</w:t>
        </w:r>
      </w:hyperlink>
      <w:r>
        <w:rPr>
          <w:rFonts w:ascii="Times New Roman" w:hAnsi="Times New Roman"/>
          <w:b w:val="false"/>
          <w:i w:val="false"/>
          <w:color w:val="000000"/>
          <w:sz w:val="24"/>
        </w:rPr>
        <w:t xml:space="preserve">(249A).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“Health insurance premium payment program”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“HIPP program” </w:t>
      </w:r>
      <w:r>
        <w:rPr>
          <w:rFonts w:ascii="Times New Roman" w:hAnsi="Times New Roman"/>
          <w:b w:val="false"/>
          <w:i w:val="false"/>
          <w:color w:val="000000"/>
          <w:sz w:val="24"/>
        </w:rPr>
        <w:t xml:space="preserve">has the same meaning as provided in rule </w:t>
      </w:r>
      <w:hyperlink r:id="rId370">
        <w:r>
          <w:rPr>
            <w:rStyle w:val="Hyperlink"/>
            <w:rFonts w:ascii="Times New Roman" w:hAnsi="Times New Roman"/>
            <w:b w:val="false"/>
            <w:i w:val="false"/>
            <w:color w:val="000000"/>
            <w:sz w:val="24"/>
          </w:rPr>
          <w:t>441—75.21</w:t>
        </w:r>
      </w:hyperlink>
      <w:r>
        <w:rPr>
          <w:rFonts w:ascii="Times New Roman" w:hAnsi="Times New Roman"/>
          <w:b w:val="false"/>
          <w:i w:val="false"/>
          <w:color w:val="000000"/>
          <w:sz w:val="24"/>
        </w:rPr>
        <w:t>(249A).</w:t>
      </w:r>
    </w:p>
    <w:p>
      <w:pPr>
        <w:spacing w:before="210" w:after="0" w:line="480"/>
        <w:ind w:left="120"/>
        <w:jc w:val="both"/>
      </w:pPr>
      <w:r>
        <w:rPr>
          <w:rFonts w:ascii="Times New Roman" w:hAnsi="Times New Roman"/>
          <w:b/>
          <w:i w:val="false"/>
          <w:color w:val="000000"/>
          <w:sz w:val="24"/>
        </w:rPr>
        <w:t>441—78.59</w:t>
      </w:r>
      <w:r>
        <w:rPr>
          <w:rFonts w:ascii="Times New Roman" w:hAnsi="Times New Roman"/>
          <w:b/>
          <w:i w:val="false"/>
          <w:color w:val="000000"/>
          <w:sz w:val="24"/>
        </w:rPr>
        <w:t xml:space="preserve">(249A) </w:t>
      </w:r>
      <w:r>
        <w:rPr>
          <w:rFonts w:ascii="Times New Roman" w:hAnsi="Times New Roman"/>
          <w:b/>
          <w:i w:val="false"/>
          <w:color w:val="000000"/>
          <w:sz w:val="24"/>
        </w:rPr>
        <w:t xml:space="preserve">Crisis response services. </w:t>
      </w:r>
      <w:r>
        <w:rPr>
          <w:rFonts w:ascii="Times New Roman" w:hAnsi="Times New Roman"/>
          <w:b w:val="false"/>
          <w:i w:val="false"/>
          <w:color w:val="000000"/>
          <w:sz w:val="24"/>
        </w:rPr>
        <w:t xml:space="preserve">Payment will be made to providers (eligible pursuant to rule </w:t>
      </w:r>
      <w:hyperlink r:id="rId371">
        <w:r>
          <w:rPr>
            <w:rStyle w:val="Hyperlink"/>
            <w:rFonts w:ascii="Times New Roman" w:hAnsi="Times New Roman"/>
            <w:b w:val="false"/>
            <w:i w:val="false"/>
            <w:color w:val="000000"/>
            <w:sz w:val="24"/>
          </w:rPr>
          <w:t>441—77.54</w:t>
        </w:r>
      </w:hyperlink>
      <w:r>
        <w:rPr>
          <w:rFonts w:ascii="Times New Roman" w:hAnsi="Times New Roman"/>
          <w:b w:val="false"/>
          <w:i w:val="false"/>
          <w:color w:val="000000"/>
          <w:sz w:val="24"/>
        </w:rPr>
        <w:t xml:space="preserve">(249A)) of crisis response services, crisis stabilization community-based services, and crisis stabilization residential services delivered as set forth in </w:t>
      </w:r>
      <w:hyperlink r:id="rId372">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441—78.60</w:t>
      </w:r>
      <w:r>
        <w:rPr>
          <w:rFonts w:ascii="Times New Roman" w:hAnsi="Times New Roman"/>
          <w:b/>
          <w:i w:val="false"/>
          <w:color w:val="000000"/>
          <w:sz w:val="24"/>
        </w:rPr>
        <w:t xml:space="preserve">(249A) </w:t>
      </w:r>
      <w:r>
        <w:rPr>
          <w:rFonts w:ascii="Times New Roman" w:hAnsi="Times New Roman"/>
          <w:b/>
          <w:i w:val="false"/>
          <w:color w:val="000000"/>
          <w:sz w:val="24"/>
        </w:rPr>
        <w:t xml:space="preserve">Subacute mental health services. </w:t>
      </w:r>
      <w:r>
        <w:rPr>
          <w:rFonts w:ascii="Times New Roman" w:hAnsi="Times New Roman"/>
          <w:b w:val="false"/>
          <w:i w:val="false"/>
          <w:color w:val="000000"/>
          <w:sz w:val="24"/>
        </w:rPr>
        <w:t xml:space="preserve">Payment will be made to providers (eligible pursuant to rule </w:t>
      </w:r>
      <w:hyperlink r:id="rId373">
        <w:r>
          <w:rPr>
            <w:rStyle w:val="Hyperlink"/>
            <w:rFonts w:ascii="Times New Roman" w:hAnsi="Times New Roman"/>
            <w:b w:val="false"/>
            <w:i w:val="false"/>
            <w:color w:val="000000"/>
            <w:sz w:val="24"/>
          </w:rPr>
          <w:t>441—77.55</w:t>
        </w:r>
      </w:hyperlink>
      <w:r>
        <w:rPr>
          <w:rFonts w:ascii="Times New Roman" w:hAnsi="Times New Roman"/>
          <w:b w:val="false"/>
          <w:i w:val="false"/>
          <w:color w:val="000000"/>
          <w:sz w:val="24"/>
        </w:rPr>
        <w:t xml:space="preserve">(249A)) for the provision of subacute mental health care facility services that meet the standards outlined in </w:t>
      </w:r>
      <w:hyperlink r:id="rId374">
        <w:r>
          <w:rPr>
            <w:rStyle w:val="Hyperlink"/>
            <w:rFonts w:ascii="Times New Roman" w:hAnsi="Times New Roman"/>
            <w:b w:val="false"/>
            <w:i w:val="false"/>
            <w:color w:val="000000"/>
            <w:sz w:val="24"/>
          </w:rPr>
          <w:t>481—Chapter 71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375">
        <w:r>
          <w:rPr>
            <w:rStyle w:val="Hyperlink"/>
            <w:rFonts w:ascii="Times New Roman" w:hAnsi="Times New Roman"/>
            <w:b w:val="false"/>
            <w:i w:val="false"/>
            <w:color w:val="000000"/>
            <w:sz w:val="24"/>
          </w:rPr>
          <w:t>249A</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37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ac/rule/441.78.2.pdf" Type="http://schemas.openxmlformats.org/officeDocument/2006/relationships/hyperlink" Id="rId6"/>
    <Relationship TargetMode="External" Target="https://www.legis.iowa.gov/docs/iac/rule/441.78.15.pdf" Type="http://schemas.openxmlformats.org/officeDocument/2006/relationships/hyperlink" Id="rId7"/>
    <Relationship TargetMode="External" Target="https://www.legis.iowa.gov/docs/iac/rule/441.78.2.pdf" Type="http://schemas.openxmlformats.org/officeDocument/2006/relationships/hyperlink" Id="rId8"/>
    <Relationship TargetMode="External" Target="https://www.legis.iowa.gov/docs/iac/rule/441.78.10.pdf" Type="http://schemas.openxmlformats.org/officeDocument/2006/relationships/hyperlink" Id="rId9"/>
    <Relationship TargetMode="External" Target="https://www.legis.iowa.gov/docs/ico/chapter/124.308.pdf" Type="http://schemas.openxmlformats.org/officeDocument/2006/relationships/hyperlink" Id="rId10"/>
    <Relationship TargetMode="External" Target="https://www.legis.iowa.gov/docs/ico/chapter/155A.27.pdf" Type="http://schemas.openxmlformats.org/officeDocument/2006/relationships/hyperlink" Id="rId11"/>
    <Relationship TargetMode="External" Target="https://www.legis.iowa.gov/docs/ico/chapter/249A.14.pdf" Type="http://schemas.openxmlformats.org/officeDocument/2006/relationships/hyperlink" Id="rId12"/>
    <Relationship TargetMode="External" Target="https://www.legis.iowa.gov/docs/iac/rule/441.78.10.pdf" Type="http://schemas.openxmlformats.org/officeDocument/2006/relationships/hyperlink" Id="rId13"/>
    <Relationship TargetMode="External" Target="https://www.legis.iowa.gov/docs/iac/rule/441.78.15.pdf" Type="http://schemas.openxmlformats.org/officeDocument/2006/relationships/hyperlink" Id="rId14"/>
    <Relationship TargetMode="External" Target="https://www.legis.iowa.gov/docs/iac/chapter/481.621.pdf" Type="http://schemas.openxmlformats.org/officeDocument/2006/relationships/hyperlink" Id="rId15"/>
    <Relationship TargetMode="External" Target="https://www.legis.iowa.gov/docs/iac/rule/441.78.1.pdf" Type="http://schemas.openxmlformats.org/officeDocument/2006/relationships/hyperlink" Id="rId16"/>
    <Relationship TargetMode="External" Target="https://www.legis.iowa.gov/docs/iac/chapter/481.780.pdf" Type="http://schemas.openxmlformats.org/officeDocument/2006/relationships/hyperlink" Id="rId17"/>
    <Relationship TargetMode="External" Target="https://www.legis.iowa.gov/docs/iac/chapter/481.784.pdf" Type="http://schemas.openxmlformats.org/officeDocument/2006/relationships/hyperlink" Id="rId18"/>
    <Relationship TargetMode="External" Target="https://www.legis.iowa.gov/docs/ico/chapter/148C.pdf" Type="http://schemas.openxmlformats.org/officeDocument/2006/relationships/hyperlink" Id="rId19"/>
    <Relationship TargetMode="External" Target="https://www.legis.iowa.gov/docs/iac/chapter/481.780.pdf" Type="http://schemas.openxmlformats.org/officeDocument/2006/relationships/hyperlink" Id="rId20"/>
    <Relationship TargetMode="External" Target="https://www.legis.iowa.gov/docs/iac/chapter/481.784.pdf" Type="http://schemas.openxmlformats.org/officeDocument/2006/relationships/hyperlink" Id="rId21"/>
    <Relationship TargetMode="External" Target="https://www.legis.iowa.gov/docs/iac/rule/481.781.1.pdf" Type="http://schemas.openxmlformats.org/officeDocument/2006/relationships/hyperlink" Id="rId22"/>
    <Relationship TargetMode="External" Target="https://www.legis.iowa.gov/docs/iac/rule/441.78.1.pdf" Type="http://schemas.openxmlformats.org/officeDocument/2006/relationships/hyperlink" Id="rId23"/>
    <Relationship TargetMode="External" Target="https://www.legis.iowa.gov/docs/iac/chapter/481.780.pdf" Type="http://schemas.openxmlformats.org/officeDocument/2006/relationships/hyperlink" Id="rId24"/>
    <Relationship TargetMode="External" Target="https://www.legis.iowa.gov/docs/iac/chapter/481.784.pdf" Type="http://schemas.openxmlformats.org/officeDocument/2006/relationships/hyperlink" Id="rId25"/>
    <Relationship TargetMode="External" Target="https://www.legis.iowa.gov/docs/iac/rule/441.78.1.pdf" Type="http://schemas.openxmlformats.org/officeDocument/2006/relationships/hyperlink" Id="rId26"/>
    <Relationship TargetMode="External" Target="https://www.legis.iowa.gov/docs/iac/rule/441.78.1.pdf" Type="http://schemas.openxmlformats.org/officeDocument/2006/relationships/hyperlink" Id="rId27"/>
    <Relationship TargetMode="External" Target="https://www.legis.iowa.gov/docs/iac/rule/441.78.1.pdf" Type="http://schemas.openxmlformats.org/officeDocument/2006/relationships/hyperlink" Id="rId28"/>
    <Relationship TargetMode="External" Target="https://www.legis.iowa.gov/docs/iac/rule/441.78.6.pdf" Type="http://schemas.openxmlformats.org/officeDocument/2006/relationships/hyperlink" Id="rId29"/>
    <Relationship TargetMode="External" Target="https://www.legis.iowa.gov/docs/iac/rule/441.78.3.pdf" Type="http://schemas.openxmlformats.org/officeDocument/2006/relationships/hyperlink" Id="rId30"/>
    <Relationship TargetMode="External" Target="https://www.legis.iowa.gov/docs/iac/rule/441.78.3.pdf" Type="http://schemas.openxmlformats.org/officeDocument/2006/relationships/hyperlink" Id="rId31"/>
    <Relationship TargetMode="External" Target="https://www.legis.iowa.gov/docs/iac/rule/441.78.3.pdf" Type="http://schemas.openxmlformats.org/officeDocument/2006/relationships/hyperlink" Id="rId32"/>
    <Relationship TargetMode="External" Target="https://www.legis.iowa.gov/docs/iac/rule/441.78.1.pdf" Type="http://schemas.openxmlformats.org/officeDocument/2006/relationships/hyperlink" Id="rId33"/>
    <Relationship TargetMode="External" Target="https://www.legis.iowa.gov/docs/iac/rule/441.78.3.pdf" Type="http://schemas.openxmlformats.org/officeDocument/2006/relationships/hyperlink" Id="rId34"/>
    <Relationship TargetMode="External" Target="https://www.legis.iowa.gov/docs/iac/rule/441.78.1.pdf" Type="http://schemas.openxmlformats.org/officeDocument/2006/relationships/hyperlink" Id="rId35"/>
    <Relationship TargetMode="External" Target="https://www.legis.iowa.gov/docs/iac/rule/441.78.25.pdf" Type="http://schemas.openxmlformats.org/officeDocument/2006/relationships/hyperlink" Id="rId36"/>
    <Relationship TargetMode="External" Target="https://www.legis.iowa.gov/docs/iac/rule/441.78.28.pdf" Type="http://schemas.openxmlformats.org/officeDocument/2006/relationships/hyperlink" Id="rId37"/>
    <Relationship TargetMode="External" Target="https://www.legis.iowa.gov/docs/ico/chapter/155A.3.pdf" Type="http://schemas.openxmlformats.org/officeDocument/2006/relationships/hyperlink" Id="rId38"/>
    <Relationship TargetMode="External" Target="https://www.legis.iowa.gov/docs/ico/chapter/124.308.pdf" Type="http://schemas.openxmlformats.org/officeDocument/2006/relationships/hyperlink" Id="rId39"/>
    <Relationship TargetMode="External" Target="https://www.legis.iowa.gov/docs/ico/chapter/155A.3.pdf" Type="http://schemas.openxmlformats.org/officeDocument/2006/relationships/hyperlink" Id="rId40"/>
    <Relationship TargetMode="External" Target="https://www.legis.iowa.gov/docs/ico/chapter/155A.27.pdf" Type="http://schemas.openxmlformats.org/officeDocument/2006/relationships/hyperlink" Id="rId41"/>
    <Relationship TargetMode="External" Target="https://www.legis.iowa.gov/docs/ico/chapter/249A.20A.pdf" Type="http://schemas.openxmlformats.org/officeDocument/2006/relationships/hyperlink" Id="rId42"/>
    <Relationship TargetMode="External" Target="https://www.legis.iowa.gov/docs/iac/rule/441.78.28.pdf" Type="http://schemas.openxmlformats.org/officeDocument/2006/relationships/hyperlink" Id="rId43"/>
    <Relationship TargetMode="External" Target="https://www.legis.iowa.gov/docs/iac/rule/441.78.2.pdf" Type="http://schemas.openxmlformats.org/officeDocument/2006/relationships/hyperlink" Id="rId44"/>
    <Relationship TargetMode="External" Target="https://www.legis.iowa.gov/docs/ico/chapter/249A.20A.pdf" Type="http://schemas.openxmlformats.org/officeDocument/2006/relationships/hyperlink" Id="rId45"/>
    <Relationship TargetMode="External" Target="https://www.legis.iowa.gov/docs/iac/rule/441.78.31.pdf" Type="http://schemas.openxmlformats.org/officeDocument/2006/relationships/hyperlink" Id="rId46"/>
    <Relationship TargetMode="External" Target="https://www.legis.iowa.gov/docs/iac/rule/441.79.1.pdf" Type="http://schemas.openxmlformats.org/officeDocument/2006/relationships/hyperlink" Id="rId47"/>
    <Relationship TargetMode="External" Target="https://www.legis.iowa.gov/docs/iac/rule/441.78.2.pdf" Type="http://schemas.openxmlformats.org/officeDocument/2006/relationships/hyperlink" Id="rId48"/>
    <Relationship TargetMode="External" Target="https://www.legis.iowa.gov/docs/iac/rule/441.78.2.pdf" Type="http://schemas.openxmlformats.org/officeDocument/2006/relationships/hyperlink" Id="rId49"/>
    <Relationship TargetMode="External" Target="https://www.legis.iowa.gov/docs/iac/rule/441.78.2.pdf" Type="http://schemas.openxmlformats.org/officeDocument/2006/relationships/hyperlink" Id="rId50"/>
    <Relationship TargetMode="External" Target="https://www.legis.iowa.gov/docs/iac/rule/441.78.2.pdf" Type="http://schemas.openxmlformats.org/officeDocument/2006/relationships/hyperlink" Id="rId51"/>
    <Relationship TargetMode="External" Target="https://www.legis.iowa.gov/docs/iac/rule/441.78.2.pdf" Type="http://schemas.openxmlformats.org/officeDocument/2006/relationships/hyperlink" Id="rId52"/>
    <Relationship TargetMode="External" Target="https://www.legis.iowa.gov/docs/iac/rule/441.79.1.pdf" Type="http://schemas.openxmlformats.org/officeDocument/2006/relationships/hyperlink" Id="rId53"/>
    <Relationship TargetMode="External" Target="https://www.legis.iowa.gov/docs/iac/rule/441.79.1.pdf" Type="http://schemas.openxmlformats.org/officeDocument/2006/relationships/hyperlink" Id="rId54"/>
    <Relationship TargetMode="External" Target="https://www.legis.iowa.gov/docs/iac/rule/441.77.25.pdf" Type="http://schemas.openxmlformats.org/officeDocument/2006/relationships/hyperlink" Id="rId55"/>
    <Relationship TargetMode="External" Target="https://www.legis.iowa.gov/docs/iac/rule/441.78.1.pdf" Type="http://schemas.openxmlformats.org/officeDocument/2006/relationships/hyperlink" Id="rId56"/>
    <Relationship TargetMode="External" Target="https://www.legis.iowa.gov/docs/iac/rule/441.78.1.pdf" Type="http://schemas.openxmlformats.org/officeDocument/2006/relationships/hyperlink" Id="rId57"/>
    <Relationship TargetMode="External" Target="https://www.legis.iowa.gov/docs/iac/rule/441.78.1.pdf" Type="http://schemas.openxmlformats.org/officeDocument/2006/relationships/hyperlink" Id="rId58"/>
    <Relationship TargetMode="External" Target="https://www.legis.iowa.gov/docs/iac/rule/441.79.1.pdf" Type="http://schemas.openxmlformats.org/officeDocument/2006/relationships/hyperlink" Id="rId59"/>
    <Relationship TargetMode="External" Target="https://www.legis.iowa.gov/docs/iac/rule/441.81.5.pdf" Type="http://schemas.openxmlformats.org/officeDocument/2006/relationships/hyperlink" Id="rId60"/>
    <Relationship TargetMode="External" Target="https://www.legis.iowa.gov/docs/iac/rule/441.81.5.pdf" Type="http://schemas.openxmlformats.org/officeDocument/2006/relationships/hyperlink" Id="rId61"/>
    <Relationship TargetMode="External" Target="https://www.legis.iowa.gov/docs/iac/rule/441.81.5.pdf" Type="http://schemas.openxmlformats.org/officeDocument/2006/relationships/hyperlink" Id="rId62"/>
    <Relationship TargetMode="External" Target="https://www.legis.iowa.gov/docs/iac/rule/441.81.5.pdf" Type="http://schemas.openxmlformats.org/officeDocument/2006/relationships/hyperlink" Id="rId63"/>
    <Relationship TargetMode="External" Target="https://www.legis.iowa.gov/docs/iac/chapter/441.7.pdf" Type="http://schemas.openxmlformats.org/officeDocument/2006/relationships/hyperlink" Id="rId64"/>
    <Relationship TargetMode="External" Target="https://www.legis.iowa.gov/docs/iac/rule/441.81.5.pdf" Type="http://schemas.openxmlformats.org/officeDocument/2006/relationships/hyperlink" Id="rId65"/>
    <Relationship TargetMode="External" Target="https://www.legis.iowa.gov/docs/iac/rule/441.81.5.pdf" Type="http://schemas.openxmlformats.org/officeDocument/2006/relationships/hyperlink" Id="rId66"/>
    <Relationship TargetMode="External" Target="https://www.legis.iowa.gov/docs/iac/rule/441.78.3.pdf" Type="http://schemas.openxmlformats.org/officeDocument/2006/relationships/hyperlink" Id="rId67"/>
    <Relationship TargetMode="External" Target="https://www.legis.iowa.gov/docs/iac/rule/441.78.1.pdf" Type="http://schemas.openxmlformats.org/officeDocument/2006/relationships/hyperlink" Id="rId68"/>
    <Relationship TargetMode="External" Target="https://www.legis.iowa.gov/docs/iac/rule/441.78.26.pdf" Type="http://schemas.openxmlformats.org/officeDocument/2006/relationships/hyperlink" Id="rId69"/>
    <Relationship TargetMode="External" Target="https://www.legis.iowa.gov/docs/iac/rule/441.78.1.pdf" Type="http://schemas.openxmlformats.org/officeDocument/2006/relationships/hyperlink" Id="rId70"/>
    <Relationship TargetMode="External" Target="https://www.legis.iowa.gov/docs/iac/rule/441.78.6.pdf" Type="http://schemas.openxmlformats.org/officeDocument/2006/relationships/hyperlink" Id="rId71"/>
    <Relationship TargetMode="External" Target="https://www.legis.iowa.gov/docs/iac/rule/441.78.8.pdf" Type="http://schemas.openxmlformats.org/officeDocument/2006/relationships/hyperlink" Id="rId72"/>
    <Relationship TargetMode="External" Target="https://www.legis.iowa.gov/docs/iac/rule/441.78.8.pdf" Type="http://schemas.openxmlformats.org/officeDocument/2006/relationships/hyperlink" Id="rId73"/>
    <Relationship TargetMode="External" Target="https://www.legis.iowa.gov/docs/iac/rule/441.78.8.pdf" Type="http://schemas.openxmlformats.org/officeDocument/2006/relationships/hyperlink" Id="rId74"/>
    <Relationship TargetMode="External" Target="https://www.legis.iowa.gov/docs/iac/rule/441.78.9.pdf" Type="http://schemas.openxmlformats.org/officeDocument/2006/relationships/hyperlink" Id="rId75"/>
    <Relationship TargetMode="External" Target="https://www.legis.iowa.gov/docs/iac/rule/441.78.9.pdf" Type="http://schemas.openxmlformats.org/officeDocument/2006/relationships/hyperlink" Id="rId76"/>
    <Relationship TargetMode="External" Target="https://www.legis.iowa.gov/docs/iac/rule/441.78.9.pdf" Type="http://schemas.openxmlformats.org/officeDocument/2006/relationships/hyperlink" Id="rId77"/>
    <Relationship TargetMode="External" Target="https://www.legis.iowa.gov/docs/iac/chapter/441.177.pdf" Type="http://schemas.openxmlformats.org/officeDocument/2006/relationships/hyperlink" Id="rId78"/>
    <Relationship TargetMode="External" Target="https://www.legis.iowa.gov/docs/iac/rule/441.78.9.pdf" Type="http://schemas.openxmlformats.org/officeDocument/2006/relationships/hyperlink" Id="rId79"/>
    <Relationship TargetMode="External" Target="https://www.legis.iowa.gov/docs/iac/rule/441.78.19.pdf" Type="http://schemas.openxmlformats.org/officeDocument/2006/relationships/hyperlink" Id="rId80"/>
    <Relationship TargetMode="External" Target="https://www.legis.iowa.gov/docs/iac/rule/441.78.19.pdf" Type="http://schemas.openxmlformats.org/officeDocument/2006/relationships/hyperlink" Id="rId81"/>
    <Relationship TargetMode="External" Target="https://www.legis.iowa.gov/docs/iac/rule/441.78.19.pdf" Type="http://schemas.openxmlformats.org/officeDocument/2006/relationships/hyperlink" Id="rId82"/>
    <Relationship TargetMode="External" Target="https://www.legis.iowa.gov/docs/iac/rule/441.78.9.pdf" Type="http://schemas.openxmlformats.org/officeDocument/2006/relationships/hyperlink" Id="rId83"/>
    <Relationship TargetMode="External" Target="https://www.legis.iowa.gov/docs/iac/rule/441.78.9.pdf" Type="http://schemas.openxmlformats.org/officeDocument/2006/relationships/hyperlink" Id="rId84"/>
    <Relationship TargetMode="External" Target="https://www.legis.iowa.gov/docs/iac/rule/441.78.10.pdf" Type="http://schemas.openxmlformats.org/officeDocument/2006/relationships/hyperlink" Id="rId85"/>
    <Relationship TargetMode="External" Target="https://www.legis.iowa.gov/docs/iac/rule/441.78.10.pdf" Type="http://schemas.openxmlformats.org/officeDocument/2006/relationships/hyperlink" Id="rId86"/>
    <Relationship TargetMode="External" Target="https://www.legis.iowa.gov/docs/iac/rule/441.78.10.pdf" Type="http://schemas.openxmlformats.org/officeDocument/2006/relationships/hyperlink" Id="rId87"/>
    <Relationship TargetMode="External" Target="https://www.legis.iowa.gov/docs/iac/rule/441.78.28.pdf" Type="http://schemas.openxmlformats.org/officeDocument/2006/relationships/hyperlink" Id="rId88"/>
    <Relationship TargetMode="External" Target="https://www.legis.iowa.gov/docs/iac/rule/441.78.10.pdf" Type="http://schemas.openxmlformats.org/officeDocument/2006/relationships/hyperlink" Id="rId89"/>
    <Relationship TargetMode="External" Target="https://www.legis.iowa.gov/docs/iac/chapter/481.58.pdf" Type="http://schemas.openxmlformats.org/officeDocument/2006/relationships/hyperlink" Id="rId90"/>
    <Relationship TargetMode="External" Target="https://www.legis.iowa.gov/docs/iac/rule/441.78.10.pdf" Type="http://schemas.openxmlformats.org/officeDocument/2006/relationships/hyperlink" Id="rId91"/>
    <Relationship TargetMode="External" Target="https://www.legis.iowa.gov/docs/iac/rule/441.78.10.pdf" Type="http://schemas.openxmlformats.org/officeDocument/2006/relationships/hyperlink" Id="rId92"/>
    <Relationship TargetMode="External" Target="https://www.legis.iowa.gov/docs/iac/rule/441.78.10.pdf" Type="http://schemas.openxmlformats.org/officeDocument/2006/relationships/hyperlink" Id="rId93"/>
    <Relationship TargetMode="External" Target="https://www.legis.iowa.gov/docs/iac/rule/441.78.10.pdf" Type="http://schemas.openxmlformats.org/officeDocument/2006/relationships/hyperlink" Id="rId94"/>
    <Relationship TargetMode="External" Target="https://www.legis.iowa.gov/docs/iac/rule/441.78.10.pdf" Type="http://schemas.openxmlformats.org/officeDocument/2006/relationships/hyperlink" Id="rId95"/>
    <Relationship TargetMode="External" Target="https://www.legis.iowa.gov/docs/iac/rule/441.78.10.pdf" Type="http://schemas.openxmlformats.org/officeDocument/2006/relationships/hyperlink" Id="rId96"/>
    <Relationship TargetMode="External" Target="https://www.legis.iowa.gov/docs/iac/rule/441.78.10.pdf" Type="http://schemas.openxmlformats.org/officeDocument/2006/relationships/hyperlink" Id="rId97"/>
    <Relationship TargetMode="External" Target="https://www.legis.iowa.gov/docs/iac/rule/441.78.10.pdf" Type="http://schemas.openxmlformats.org/officeDocument/2006/relationships/hyperlink" Id="rId98"/>
    <Relationship TargetMode="External" Target="https://www.legis.iowa.gov/docs/iac/rule/441.78.10.pdf" Type="http://schemas.openxmlformats.org/officeDocument/2006/relationships/hyperlink" Id="rId99"/>
    <Relationship TargetMode="External" Target="https://www.legis.iowa.gov/docs/iac/rule/441.78.10.pdf" Type="http://schemas.openxmlformats.org/officeDocument/2006/relationships/hyperlink" Id="rId100"/>
    <Relationship TargetMode="External" Target="https://www.legis.iowa.gov/docs/iac/rule/441.78.14.pdf" Type="http://schemas.openxmlformats.org/officeDocument/2006/relationships/hyperlink" Id="rId101"/>
    <Relationship TargetMode="External" Target="https://www.legis.iowa.gov/docs/iac/rule/441.78.10.pdf" Type="http://schemas.openxmlformats.org/officeDocument/2006/relationships/hyperlink" Id="rId102"/>
    <Relationship TargetMode="External" Target="https://www.legis.iowa.gov/docs/iac/rule/441.78.15.pdf" Type="http://schemas.openxmlformats.org/officeDocument/2006/relationships/hyperlink" Id="rId103"/>
    <Relationship TargetMode="External" Target="https://www.legis.iowa.gov/docs/ico/chapter/249A.20A.pdf" Type="http://schemas.openxmlformats.org/officeDocument/2006/relationships/hyperlink" Id="rId104"/>
    <Relationship TargetMode="External" Target="https://www.legis.iowa.gov/docs/ico/chapter/249A.20A.pdf" Type="http://schemas.openxmlformats.org/officeDocument/2006/relationships/hyperlink" Id="rId105"/>
    <Relationship TargetMode="External" Target="https://www.legis.iowa.gov/docs/iac/rule/441.78.10.pdf" Type="http://schemas.openxmlformats.org/officeDocument/2006/relationships/hyperlink" Id="rId106"/>
    <Relationship TargetMode="External" Target="https://www.legis.iowa.gov/docs/iac/rule/441.78.10.pdf" Type="http://schemas.openxmlformats.org/officeDocument/2006/relationships/hyperlink" Id="rId107"/>
    <Relationship TargetMode="External" Target="https://www.legis.iowa.gov/docs/iac/rule/441.79.8.pdf" Type="http://schemas.openxmlformats.org/officeDocument/2006/relationships/hyperlink" Id="rId108"/>
    <Relationship TargetMode="External" Target="https://www.legis.iowa.gov/docs/iac/rule/441.79.1.pdf" Type="http://schemas.openxmlformats.org/officeDocument/2006/relationships/hyperlink" Id="rId109"/>
    <Relationship TargetMode="External" Target="https://www.legis.iowa.gov/docs/ico/chapter/514B.1.pdf" Type="http://schemas.openxmlformats.org/officeDocument/2006/relationships/hyperlink" Id="rId110"/>
    <Relationship TargetMode="External" Target="https://www.legis.iowa.gov/docs/iac/rule/441.156.20.pdf" Type="http://schemas.openxmlformats.org/officeDocument/2006/relationships/hyperlink" Id="rId111"/>
    <Relationship TargetMode="External" Target="https://www.legis.iowa.gov/docs/iac/rule/441.78.12.pdf" Type="http://schemas.openxmlformats.org/officeDocument/2006/relationships/hyperlink" Id="rId112"/>
    <Relationship TargetMode="External" Target="https://www.legis.iowa.gov/docs/iac/rule/441.78.12.pdf" Type="http://schemas.openxmlformats.org/officeDocument/2006/relationships/hyperlink" Id="rId113"/>
    <Relationship TargetMode="External" Target="https://www.legis.iowa.gov/docs/iac/rule/441.77.13.pdf" Type="http://schemas.openxmlformats.org/officeDocument/2006/relationships/hyperlink" Id="rId114"/>
    <Relationship TargetMode="External" Target="https://www.legis.iowa.gov/docs/iac/rule/441.78.12.pdf" Type="http://schemas.openxmlformats.org/officeDocument/2006/relationships/hyperlink" Id="rId115"/>
    <Relationship TargetMode="External" Target="https://www.legis.iowa.gov/docs/iac/rule/441.78.12.pdf" Type="http://schemas.openxmlformats.org/officeDocument/2006/relationships/hyperlink" Id="rId116"/>
    <Relationship TargetMode="External" Target="https://www.legis.iowa.gov/docs/iac/rule/441.78.13.pdf" Type="http://schemas.openxmlformats.org/officeDocument/2006/relationships/hyperlink" Id="rId117"/>
    <Relationship TargetMode="External" Target="https://www.legis.iowa.gov/docs/iac/rule/11.41.6.pdf" Type="http://schemas.openxmlformats.org/officeDocument/2006/relationships/hyperlink" Id="rId118"/>
    <Relationship TargetMode="External" Target="https://www.legis.iowa.gov/docs/iac/chapter/441.7.pdf" Type="http://schemas.openxmlformats.org/officeDocument/2006/relationships/hyperlink" Id="rId119"/>
    <Relationship TargetMode="External" Target="https://www.legis.iowa.gov/docs/iac/chapter/441.7.pdf" Type="http://schemas.openxmlformats.org/officeDocument/2006/relationships/hyperlink" Id="rId120"/>
    <Relationship TargetMode="External" Target="https://www.legis.iowa.gov/docs/iac/rule/441.78.13.pdf" Type="http://schemas.openxmlformats.org/officeDocument/2006/relationships/hyperlink" Id="rId121"/>
    <Relationship TargetMode="External" Target="https://www.legis.iowa.gov/docs/iac/rule/441.78.1.pdf" Type="http://schemas.openxmlformats.org/officeDocument/2006/relationships/hyperlink" Id="rId122"/>
    <Relationship TargetMode="External" Target="https://www.legis.iowa.gov/docs/iac/rule/441.77.14.pdf" Type="http://schemas.openxmlformats.org/officeDocument/2006/relationships/hyperlink" Id="rId123"/>
    <Relationship TargetMode="External" Target="https://www.legis.iowa.gov/docs/iac/rule/441.79.8.pdf" Type="http://schemas.openxmlformats.org/officeDocument/2006/relationships/hyperlink" Id="rId124"/>
    <Relationship TargetMode="External" Target="https://www.legis.iowa.gov/docs/iac/rule/441.78.16.pdf" Type="http://schemas.openxmlformats.org/officeDocument/2006/relationships/hyperlink" Id="rId125"/>
    <Relationship TargetMode="External" Target="https://www.legis.iowa.gov/docs/ico/chapter/228.1.pdf" Type="http://schemas.openxmlformats.org/officeDocument/2006/relationships/hyperlink" Id="rId126"/>
    <Relationship TargetMode="External" Target="https://www.legis.iowa.gov/docs/iac/rule/441.78.16.pdf" Type="http://schemas.openxmlformats.org/officeDocument/2006/relationships/hyperlink" Id="rId127"/>
    <Relationship TargetMode="External" Target="https://www.legis.iowa.gov/docs/iac/rule/441.78.16.pdf" Type="http://schemas.openxmlformats.org/officeDocument/2006/relationships/hyperlink" Id="rId128"/>
    <Relationship TargetMode="External" Target="https://www.legis.iowa.gov/docs/iac/rule/441.78.16.pdf" Type="http://schemas.openxmlformats.org/officeDocument/2006/relationships/hyperlink" Id="rId129"/>
    <Relationship TargetMode="External" Target="https://www.legis.iowa.gov/docs/iac/rule/441.24.1.pdf" Type="http://schemas.openxmlformats.org/officeDocument/2006/relationships/hyperlink" Id="rId130"/>
    <Relationship TargetMode="External" Target="https://www.legis.iowa.gov/docs/iac/rule/441.78.16.pdf" Type="http://schemas.openxmlformats.org/officeDocument/2006/relationships/hyperlink" Id="rId131"/>
    <Relationship TargetMode="External" Target="https://www.legis.iowa.gov/docs/iac/chapter/441.114.pdf" Type="http://schemas.openxmlformats.org/officeDocument/2006/relationships/hyperlink" Id="rId132"/>
    <Relationship TargetMode="External" Target="https://www.legis.iowa.gov/docs/iac/rule/441.24.1.pdf" Type="http://schemas.openxmlformats.org/officeDocument/2006/relationships/hyperlink" Id="rId133"/>
    <Relationship TargetMode="External" Target="https://www.legis.iowa.gov/docs/iac/rule/441.24.1.pdf" Type="http://schemas.openxmlformats.org/officeDocument/2006/relationships/hyperlink" Id="rId134"/>
    <Relationship TargetMode="External" Target="https://www.legis.iowa.gov/docs/iac/rule/441.24.1.pdf" Type="http://schemas.openxmlformats.org/officeDocument/2006/relationships/hyperlink" Id="rId135"/>
    <Relationship TargetMode="External" Target="https://www.legis.iowa.gov/docs/iac/rule/441.78.16.pdf" Type="http://schemas.openxmlformats.org/officeDocument/2006/relationships/hyperlink" Id="rId136"/>
    <Relationship TargetMode="External" Target="https://www.legis.iowa.gov/docs/iac/rule/441.78.19.pdf" Type="http://schemas.openxmlformats.org/officeDocument/2006/relationships/hyperlink" Id="rId137"/>
    <Relationship TargetMode="External" Target="https://www.legis.iowa.gov/docs/iac/rule/441.84.1.pdf" Type="http://schemas.openxmlformats.org/officeDocument/2006/relationships/hyperlink" Id="rId138"/>
    <Relationship TargetMode="External" Target="https://www.legis.iowa.gov/docs/iac/rule/441.78.18.pdf" Type="http://schemas.openxmlformats.org/officeDocument/2006/relationships/hyperlink" Id="rId139"/>
    <Relationship TargetMode="External" Target="https://www.legis.iowa.gov/docs/ico/chapter/135C.4.pdf" Type="http://schemas.openxmlformats.org/officeDocument/2006/relationships/hyperlink" Id="rId140"/>
    <Relationship TargetMode="External" Target="https://www.legis.iowa.gov/docs/iac/rule/441.78.19.pdf" Type="http://schemas.openxmlformats.org/officeDocument/2006/relationships/hyperlink" Id="rId141"/>
    <Relationship TargetMode="External" Target="https://www.legis.iowa.gov/docs/iac/rule/441.78.19.pdf" Type="http://schemas.openxmlformats.org/officeDocument/2006/relationships/hyperlink" Id="rId142"/>
    <Relationship TargetMode="External" Target="https://www.legis.iowa.gov/docs/iac/rule/441.78.19.pdf" Type="http://schemas.openxmlformats.org/officeDocument/2006/relationships/hyperlink" Id="rId143"/>
    <Relationship TargetMode="External" Target="https://www.legis.iowa.gov/docs/iac/rule/441.78.19.pdf" Type="http://schemas.openxmlformats.org/officeDocument/2006/relationships/hyperlink" Id="rId144"/>
    <Relationship TargetMode="External" Target="https://www.legis.iowa.gov/docs/iac/rule/441.78.19.pdf" Type="http://schemas.openxmlformats.org/officeDocument/2006/relationships/hyperlink" Id="rId145"/>
    <Relationship TargetMode="External" Target="https://www.legis.iowa.gov/docs/iac/rule/441.78.19.pdf" Type="http://schemas.openxmlformats.org/officeDocument/2006/relationships/hyperlink" Id="rId146"/>
    <Relationship TargetMode="External" Target="https://www.legis.iowa.gov/docs/iac/rule/441.78.19.pdf" Type="http://schemas.openxmlformats.org/officeDocument/2006/relationships/hyperlink" Id="rId147"/>
    <Relationship TargetMode="External" Target="https://www.legis.iowa.gov/docs/iac/rule/441.78.19.pdf" Type="http://schemas.openxmlformats.org/officeDocument/2006/relationships/hyperlink" Id="rId148"/>
    <Relationship TargetMode="External" Target="https://www.legis.iowa.gov/docs/iac/rule/441.78.19.pdf" Type="http://schemas.openxmlformats.org/officeDocument/2006/relationships/hyperlink" Id="rId149"/>
    <Relationship TargetMode="External" Target="https://www.legis.iowa.gov/docs/iac/rule/441.78.1.pdf" Type="http://schemas.openxmlformats.org/officeDocument/2006/relationships/hyperlink" Id="rId150"/>
    <Relationship TargetMode="External" Target="https://www.legis.iowa.gov/docs/iac/rule/441.78.25.pdf" Type="http://schemas.openxmlformats.org/officeDocument/2006/relationships/hyperlink" Id="rId151"/>
    <Relationship TargetMode="External" Target="https://www.legis.iowa.gov/docs/iac/rule/441.78.1.pdf" Type="http://schemas.openxmlformats.org/officeDocument/2006/relationships/hyperlink" Id="rId152"/>
    <Relationship TargetMode="External" Target="https://www.legis.iowa.gov/docs/iac/rule/441.78.1.pdf" Type="http://schemas.openxmlformats.org/officeDocument/2006/relationships/hyperlink" Id="rId153"/>
    <Relationship TargetMode="External" Target="https://www.legis.iowa.gov/docs/iac/rule/441.78.25.pdf" Type="http://schemas.openxmlformats.org/officeDocument/2006/relationships/hyperlink" Id="rId154"/>
    <Relationship TargetMode="External" Target="https://www.legis.iowa.gov/docs/iac/rule/441.78.1.pdf" Type="http://schemas.openxmlformats.org/officeDocument/2006/relationships/hyperlink" Id="rId155"/>
    <Relationship TargetMode="External" Target="https://www.legis.iowa.gov/docs/iac/rule/441.78.25.pdf" Type="http://schemas.openxmlformats.org/officeDocument/2006/relationships/hyperlink" Id="rId156"/>
    <Relationship TargetMode="External" Target="https://www.legis.iowa.gov/docs/ico/chapter/152.pdf" Type="http://schemas.openxmlformats.org/officeDocument/2006/relationships/hyperlink" Id="rId157"/>
    <Relationship TargetMode="External" Target="https://www.legis.iowa.gov/docs/ico/chapter/148C.pdf" Type="http://schemas.openxmlformats.org/officeDocument/2006/relationships/hyperlink" Id="rId158"/>
    <Relationship TargetMode="External" Target="https://www.legis.iowa.gov/docs/iac/rule/441.78.11.pdf" Type="http://schemas.openxmlformats.org/officeDocument/2006/relationships/hyperlink" Id="rId159"/>
    <Relationship TargetMode="External" Target="https://www.legis.iowa.gov/docs/iac/rule/441.78.13.pdf" Type="http://schemas.openxmlformats.org/officeDocument/2006/relationships/hyperlink" Id="rId160"/>
    <Relationship TargetMode="External" Target="https://www.legis.iowa.gov/docs/iac/chapter/481.576.pdf" Type="http://schemas.openxmlformats.org/officeDocument/2006/relationships/hyperlink" Id="rId161"/>
    <Relationship TargetMode="External" Target="https://www.legis.iowa.gov/docs/iac/rule/441.78.1.pdf" Type="http://schemas.openxmlformats.org/officeDocument/2006/relationships/hyperlink" Id="rId162"/>
    <Relationship TargetMode="External" Target="https://www.legis.iowa.gov/docs/iac/rule/441.78.4.pdf" Type="http://schemas.openxmlformats.org/officeDocument/2006/relationships/hyperlink" Id="rId163"/>
    <Relationship TargetMode="External" Target="https://www.legis.iowa.gov/docs/iac/rule/441.78.1.pdf" Type="http://schemas.openxmlformats.org/officeDocument/2006/relationships/hyperlink" Id="rId164"/>
    <Relationship TargetMode="External" Target="https://www.legis.iowa.gov/docs/iac/rule/441.78.4.pdf" Type="http://schemas.openxmlformats.org/officeDocument/2006/relationships/hyperlink" Id="rId165"/>
    <Relationship TargetMode="External" Target="https://www.legis.iowa.gov/docs/iac/rule/441.78.1.pdf" Type="http://schemas.openxmlformats.org/officeDocument/2006/relationships/hyperlink" Id="rId166"/>
    <Relationship TargetMode="External" Target="https://www.legis.iowa.gov/docs/iac/rule/441.78.1.pdf" Type="http://schemas.openxmlformats.org/officeDocument/2006/relationships/hyperlink" Id="rId167"/>
    <Relationship TargetMode="External" Target="https://www.legis.iowa.gov/docs/iac/rule/441.78.1.pdf" Type="http://schemas.openxmlformats.org/officeDocument/2006/relationships/hyperlink" Id="rId168"/>
    <Relationship TargetMode="External" Target="https://www.legis.iowa.gov/docs/iac/chapter/441.24.pdf" Type="http://schemas.openxmlformats.org/officeDocument/2006/relationships/hyperlink" Id="rId169"/>
    <Relationship TargetMode="External" Target="https://www.legis.iowa.gov/docs/iac/chapter/441.90.pdf" Type="http://schemas.openxmlformats.org/officeDocument/2006/relationships/hyperlink" Id="rId170"/>
    <Relationship TargetMode="External" Target="https://www.legis.iowa.gov/docs/iac/rule/441.77.30.pdf" Type="http://schemas.openxmlformats.org/officeDocument/2006/relationships/hyperlink" Id="rId171"/>
    <Relationship TargetMode="External" Target="https://www.legis.iowa.gov/docs/ico/chapter/514B.1.pdf" Type="http://schemas.openxmlformats.org/officeDocument/2006/relationships/hyperlink" Id="rId172"/>
    <Relationship TargetMode="External" Target="https://www.legis.iowa.gov/docs/iac/chapter/441.75.pdf" Type="http://schemas.openxmlformats.org/officeDocument/2006/relationships/hyperlink" Id="rId173"/>
    <Relationship TargetMode="External" Target="https://www.legis.iowa.gov/docs/iac/rule/441.78.27.pdf" Type="http://schemas.openxmlformats.org/officeDocument/2006/relationships/hyperlink" Id="rId174"/>
    <Relationship TargetMode="External" Target="https://www.legis.iowa.gov/docs/iac/rule/441.90.4.pdf" Type="http://schemas.openxmlformats.org/officeDocument/2006/relationships/hyperlink" Id="rId175"/>
    <Relationship TargetMode="External" Target="https://www.legis.iowa.gov/docs/iac/rule/441.78.27.pdf" Type="http://schemas.openxmlformats.org/officeDocument/2006/relationships/hyperlink" Id="rId176"/>
    <Relationship TargetMode="External" Target="https://www.legis.iowa.gov/docs/iac/rule/441.90.4.pdf" Type="http://schemas.openxmlformats.org/officeDocument/2006/relationships/hyperlink" Id="rId177"/>
    <Relationship TargetMode="External" Target="https://www.legis.iowa.gov/docs/iac/rule/441.79.1.pdf" Type="http://schemas.openxmlformats.org/officeDocument/2006/relationships/hyperlink" Id="rId178"/>
    <Relationship TargetMode="External" Target="https://www.legis.iowa.gov/docs/iac/rule/441.79.1.pdf" Type="http://schemas.openxmlformats.org/officeDocument/2006/relationships/hyperlink" Id="rId179"/>
    <Relationship TargetMode="External" Target="https://www.legis.iowa.gov/docs/iac/chapter/441.16.pdf" Type="http://schemas.openxmlformats.org/officeDocument/2006/relationships/hyperlink" Id="rId180"/>
    <Relationship TargetMode="External" Target="https://www.legis.iowa.gov/docs/iac/rule/441.77.30.pdf" Type="http://schemas.openxmlformats.org/officeDocument/2006/relationships/hyperlink" Id="rId181"/>
    <Relationship TargetMode="External" Target="https://www.legis.iowa.gov/docs/iac/rule/441.78.27.pdf" Type="http://schemas.openxmlformats.org/officeDocument/2006/relationships/hyperlink" Id="rId182"/>
    <Relationship TargetMode="External" Target="https://www.legis.iowa.gov/docs/iac/rule/441.79.3.pdf" Type="http://schemas.openxmlformats.org/officeDocument/2006/relationships/hyperlink" Id="rId183"/>
    <Relationship TargetMode="External" Target="https://www.legis.iowa.gov/docs/iac/rule/441.90.4.pdf" Type="http://schemas.openxmlformats.org/officeDocument/2006/relationships/hyperlink" Id="rId184"/>
    <Relationship TargetMode="External" Target="https://www.legis.iowa.gov/docs/iac/rule/441.90.7.pdf" Type="http://schemas.openxmlformats.org/officeDocument/2006/relationships/hyperlink" Id="rId185"/>
    <Relationship TargetMode="External" Target="https://www.legis.iowa.gov/docs/iac/chapter/441.90.pdf" Type="http://schemas.openxmlformats.org/officeDocument/2006/relationships/hyperlink" Id="rId186"/>
    <Relationship TargetMode="External" Target="https://www.legis.iowa.gov/docs/iac/rule/441.77.30.pdf" Type="http://schemas.openxmlformats.org/officeDocument/2006/relationships/hyperlink" Id="rId187"/>
    <Relationship TargetMode="External" Target="https://www.legis.iowa.gov/docs/iac/rule/441.77.30.pdf" Type="http://schemas.openxmlformats.org/officeDocument/2006/relationships/hyperlink" Id="rId188"/>
    <Relationship TargetMode="External" Target="https://www.legis.iowa.gov/docs/iac/rule/441.77.30.pdf" Type="http://schemas.openxmlformats.org/officeDocument/2006/relationships/hyperlink" Id="rId189"/>
    <Relationship TargetMode="External" Target="https://www.legis.iowa.gov/docs/iac/rule/441.78.27.pdf" Type="http://schemas.openxmlformats.org/officeDocument/2006/relationships/hyperlink" Id="rId190"/>
    <Relationship TargetMode="External" Target="https://www.legis.iowa.gov/docs/iac/rule/441.78.27.pdf" Type="http://schemas.openxmlformats.org/officeDocument/2006/relationships/hyperlink" Id="rId191"/>
    <Relationship TargetMode="External" Target="https://www.legis.iowa.gov/docs/iac/rule/441.78.27.pdf" Type="http://schemas.openxmlformats.org/officeDocument/2006/relationships/hyperlink" Id="rId192"/>
    <Relationship TargetMode="External" Target="https://www.legis.iowa.gov/docs/iac/rule/441.78.27.pdf" Type="http://schemas.openxmlformats.org/officeDocument/2006/relationships/hyperlink" Id="rId193"/>
    <Relationship TargetMode="External" Target="https://www.legis.iowa.gov/docs/iac/rule/441.78.27.pdf" Type="http://schemas.openxmlformats.org/officeDocument/2006/relationships/hyperlink" Id="rId194"/>
    <Relationship TargetMode="External" Target="https://www.legis.iowa.gov/docs/iac/rule/441.78.27.pdf" Type="http://schemas.openxmlformats.org/officeDocument/2006/relationships/hyperlink" Id="rId195"/>
    <Relationship TargetMode="External" Target="https://www.legis.iowa.gov/docs/iac/rule/441.79.1.pdf" Type="http://schemas.openxmlformats.org/officeDocument/2006/relationships/hyperlink" Id="rId196"/>
    <Relationship TargetMode="External" Target="https://www.legis.iowa.gov/docs/iac/rule/441.79.1.pdf" Type="http://schemas.openxmlformats.org/officeDocument/2006/relationships/hyperlink" Id="rId197"/>
    <Relationship TargetMode="External" Target="https://www.legis.iowa.gov/docs/iac/chapter/441.16.pdf" Type="http://schemas.openxmlformats.org/officeDocument/2006/relationships/hyperlink" Id="rId198"/>
    <Relationship TargetMode="External" Target="https://www.legis.iowa.gov/docs/iac/rule/...pdf" Type="http://schemas.openxmlformats.org/officeDocument/2006/relationships/hyperlink" Id="rId199"/>
    <Relationship TargetMode="External" Target="https://www.legis.iowa.gov/docs/iac/chapter/441.7.pdf" Type="http://schemas.openxmlformats.org/officeDocument/2006/relationships/hyperlink" Id="rId200"/>
    <Relationship TargetMode="External" Target="https://www.legis.iowa.gov/docs/ico/chapter/249A.20A.pdf" Type="http://schemas.openxmlformats.org/officeDocument/2006/relationships/hyperlink" Id="rId201"/>
    <Relationship TargetMode="External" Target="https://www.legis.iowa.gov/docs/ico/chapter/249A.20A.pdf" Type="http://schemas.openxmlformats.org/officeDocument/2006/relationships/hyperlink" Id="rId202"/>
    <Relationship TargetMode="External" Target="https://www.legis.iowa.gov/docs/iac/rule/441.78.10.pdf" Type="http://schemas.openxmlformats.org/officeDocument/2006/relationships/hyperlink" Id="rId203"/>
    <Relationship TargetMode="External" Target="https://www.legis.iowa.gov/docs/iac/rule/441.78.10.pdf" Type="http://schemas.openxmlformats.org/officeDocument/2006/relationships/hyperlink" Id="rId204"/>
    <Relationship TargetMode="External" Target="https://www.legis.iowa.gov/docs/iac/rule/441.78.10.pdf" Type="http://schemas.openxmlformats.org/officeDocument/2006/relationships/hyperlink" Id="rId205"/>
    <Relationship TargetMode="External" Target="https://www.legis.iowa.gov/docs/iac/rule/441.78.10.pdf" Type="http://schemas.openxmlformats.org/officeDocument/2006/relationships/hyperlink" Id="rId206"/>
    <Relationship TargetMode="External" Target="https://www.legis.iowa.gov/docs/iac/rule/441.78.10.pdf" Type="http://schemas.openxmlformats.org/officeDocument/2006/relationships/hyperlink" Id="rId207"/>
    <Relationship TargetMode="External" Target="https://www.legis.iowa.gov/docs/iac/rule/441.78.10.pdf" Type="http://schemas.openxmlformats.org/officeDocument/2006/relationships/hyperlink" Id="rId208"/>
    <Relationship TargetMode="External" Target="https://www.legis.iowa.gov/docs/iac/rule/441.78.10.pdf" Type="http://schemas.openxmlformats.org/officeDocument/2006/relationships/hyperlink" Id="rId209"/>
    <Relationship TargetMode="External" Target="https://www.legis.iowa.gov/docs/iac/rule/441.78.10.pdf" Type="http://schemas.openxmlformats.org/officeDocument/2006/relationships/hyperlink" Id="rId210"/>
    <Relationship TargetMode="External" Target="https://www.legis.iowa.gov/docs/iac/rule/441.78.10.pdf" Type="http://schemas.openxmlformats.org/officeDocument/2006/relationships/hyperlink" Id="rId211"/>
    <Relationship TargetMode="External" Target="https://www.legis.iowa.gov/docs/iac/rule/441.78.10.pdf" Type="http://schemas.openxmlformats.org/officeDocument/2006/relationships/hyperlink" Id="rId212"/>
    <Relationship TargetMode="External" Target="https://www.legis.iowa.gov/docs/iac/rule/441.78.10.pdf" Type="http://schemas.openxmlformats.org/officeDocument/2006/relationships/hyperlink" Id="rId213"/>
    <Relationship TargetMode="External" Target="https://www.legis.iowa.gov/docs/iac/rule/441.78.10.pdf" Type="http://schemas.openxmlformats.org/officeDocument/2006/relationships/hyperlink" Id="rId214"/>
    <Relationship TargetMode="External" Target="https://www.legis.iowa.gov/docs/iac/rule/441.78.28.pdf" Type="http://schemas.openxmlformats.org/officeDocument/2006/relationships/hyperlink" Id="rId215"/>
    <Relationship TargetMode="External" Target="https://www.legis.iowa.gov/docs/iac/rule/441.78.7.pdf" Type="http://schemas.openxmlformats.org/officeDocument/2006/relationships/hyperlink" Id="rId216"/>
    <Relationship TargetMode="External" Target="https://www.legis.iowa.gov/docs/iac/rule/441.78.1.pdf" Type="http://schemas.openxmlformats.org/officeDocument/2006/relationships/hyperlink" Id="rId217"/>
    <Relationship TargetMode="External" Target="https://www.legis.iowa.gov/docs/iac/rule/441.78.9.pdf" Type="http://schemas.openxmlformats.org/officeDocument/2006/relationships/hyperlink" Id="rId218"/>
    <Relationship TargetMode="External" Target="https://www.legis.iowa.gov/docs/iac/rule/441.78.9.pdf" Type="http://schemas.openxmlformats.org/officeDocument/2006/relationships/hyperlink" Id="rId219"/>
    <Relationship TargetMode="External" Target="https://www.legis.iowa.gov/docs/iac/rule/441.78.28.pdf" Type="http://schemas.openxmlformats.org/officeDocument/2006/relationships/hyperlink" Id="rId220"/>
    <Relationship TargetMode="External" Target="https://www.legis.iowa.gov/docs/iac/rule/441.78.28.pdf" Type="http://schemas.openxmlformats.org/officeDocument/2006/relationships/hyperlink" Id="rId221"/>
    <Relationship TargetMode="External" Target="https://www.legis.iowa.gov/docs/iac/rule/441.79.9.pdf" Type="http://schemas.openxmlformats.org/officeDocument/2006/relationships/hyperlink" Id="rId222"/>
    <Relationship TargetMode="External" Target="https://www.legis.iowa.gov/docs/iac/rule/441.78.31.pdf" Type="http://schemas.openxmlformats.org/officeDocument/2006/relationships/hyperlink" Id="rId223"/>
    <Relationship TargetMode="External" Target="https://www.legis.iowa.gov/docs/iac/rule/441.78.31.pdf" Type="http://schemas.openxmlformats.org/officeDocument/2006/relationships/hyperlink" Id="rId224"/>
    <Relationship TargetMode="External" Target="https://www.legis.iowa.gov/docs/iac/rule/441.78.31.pdf" Type="http://schemas.openxmlformats.org/officeDocument/2006/relationships/hyperlink" Id="rId225"/>
    <Relationship TargetMode="External" Target="https://www.legis.iowa.gov/docs/iac/rule/441.78.31.pdf" Type="http://schemas.openxmlformats.org/officeDocument/2006/relationships/hyperlink" Id="rId226"/>
    <Relationship TargetMode="External" Target="https://www.legis.iowa.gov/docs/iac/rule/441.78.31.pdf" Type="http://schemas.openxmlformats.org/officeDocument/2006/relationships/hyperlink" Id="rId227"/>
    <Relationship TargetMode="External" Target="https://www.legis.iowa.gov/docs/iac/rule/441.24.1.pdf" Type="http://schemas.openxmlformats.org/officeDocument/2006/relationships/hyperlink" Id="rId228"/>
    <Relationship TargetMode="External" Target="https://www.legis.iowa.gov/docs/iac/rule/441.78.16.pdf" Type="http://schemas.openxmlformats.org/officeDocument/2006/relationships/hyperlink" Id="rId229"/>
    <Relationship TargetMode="External" Target="https://www.legis.iowa.gov/docs/iac/rule/441.78.16.pdf" Type="http://schemas.openxmlformats.org/officeDocument/2006/relationships/hyperlink" Id="rId230"/>
    <Relationship TargetMode="External" Target="https://www.legis.iowa.gov/docs/iac/chapter/441.90.pdf" Type="http://schemas.openxmlformats.org/officeDocument/2006/relationships/hyperlink" Id="rId231"/>
    <Relationship TargetMode="External" Target="https://www.legis.iowa.gov/docs/iac/rule/441.90.1.pdf" Type="http://schemas.openxmlformats.org/officeDocument/2006/relationships/hyperlink" Id="rId232"/>
    <Relationship TargetMode="External" Target="https://www.legis.iowa.gov/docs/iac/chapter/441.83.pdf" Type="http://schemas.openxmlformats.org/officeDocument/2006/relationships/hyperlink" Id="rId233"/>
    <Relationship TargetMode="External" Target="https://www.legis.iowa.gov/docs/iac/rule/441.78.9.pdf" Type="http://schemas.openxmlformats.org/officeDocument/2006/relationships/hyperlink" Id="rId234"/>
    <Relationship TargetMode="External" Target="https://www.legis.iowa.gov/docs/iac/chapter/441.83.pdf" Type="http://schemas.openxmlformats.org/officeDocument/2006/relationships/hyperlink" Id="rId235"/>
    <Relationship TargetMode="External" Target="https://www.legis.iowa.gov/docs/ico/chapter/135C.pdf" Type="http://schemas.openxmlformats.org/officeDocument/2006/relationships/hyperlink" Id="rId236"/>
    <Relationship TargetMode="External" Target="https://www.legis.iowa.gov/docs/iac/rule/441.24.1.pdf" Type="http://schemas.openxmlformats.org/officeDocument/2006/relationships/hyperlink" Id="rId237"/>
    <Relationship TargetMode="External" Target="https://www.legis.iowa.gov/docs/iac/rule/441.78.34.pdf" Type="http://schemas.openxmlformats.org/officeDocument/2006/relationships/hyperlink" Id="rId238"/>
    <Relationship TargetMode="External" Target="https://www.legis.iowa.gov/docs/iac/rule/441.78.34.pdf" Type="http://schemas.openxmlformats.org/officeDocument/2006/relationships/hyperlink" Id="rId239"/>
    <Relationship TargetMode="External" Target="https://www.legis.iowa.gov/docs/iac/rule/441.79.9.pdf" Type="http://schemas.openxmlformats.org/officeDocument/2006/relationships/hyperlink" Id="rId240"/>
    <Relationship TargetMode="External" Target="https://www.legis.iowa.gov/docs/iac/rule/441.79.3.pdf" Type="http://schemas.openxmlformats.org/officeDocument/2006/relationships/hyperlink" Id="rId241"/>
    <Relationship TargetMode="External" Target="https://www.legis.iowa.gov/docs/iac/rule/441.79.3.pdf" Type="http://schemas.openxmlformats.org/officeDocument/2006/relationships/hyperlink" Id="rId242"/>
    <Relationship TargetMode="External" Target="https://www.legis.iowa.gov/docs/iac/rule/441.78.9.pdf" Type="http://schemas.openxmlformats.org/officeDocument/2006/relationships/hyperlink" Id="rId243"/>
    <Relationship TargetMode="External" Target="https://www.legis.iowa.gov/docs/iac/rule/441.78.9.pdf" Type="http://schemas.openxmlformats.org/officeDocument/2006/relationships/hyperlink" Id="rId244"/>
    <Relationship TargetMode="External" Target="https://www.legis.iowa.gov/docs/iac/rule/441.79.1.pdf" Type="http://schemas.openxmlformats.org/officeDocument/2006/relationships/hyperlink" Id="rId245"/>
    <Relationship TargetMode="External" Target="https://www.legis.iowa.gov/docs/iac/rule/441.78.34.pdf" Type="http://schemas.openxmlformats.org/officeDocument/2006/relationships/hyperlink" Id="rId246"/>
    <Relationship TargetMode="External" Target="https://www.legis.iowa.gov/docs/iac/rule/441.78.34.pdf" Type="http://schemas.openxmlformats.org/officeDocument/2006/relationships/hyperlink" Id="rId247"/>
    <Relationship TargetMode="External" Target="https://www.legis.iowa.gov/docs/iac/rule/441.78.34.pdf" Type="http://schemas.openxmlformats.org/officeDocument/2006/relationships/hyperlink" Id="rId248"/>
    <Relationship TargetMode="External" Target="https://www.legis.iowa.gov/docs/iac/rule/441.78.34.pdf" Type="http://schemas.openxmlformats.org/officeDocument/2006/relationships/hyperlink" Id="rId249"/>
    <Relationship TargetMode="External" Target="https://www.legis.iowa.gov/docs/iac/rule/441.78.34.pdf" Type="http://schemas.openxmlformats.org/officeDocument/2006/relationships/hyperlink" Id="rId250"/>
    <Relationship TargetMode="External" Target="https://www.legis.iowa.gov/docs/iac/rule/441.78.34.pdf" Type="http://schemas.openxmlformats.org/officeDocument/2006/relationships/hyperlink" Id="rId251"/>
    <Relationship TargetMode="External" Target="https://www.legis.iowa.gov/docs/iac/chapter/441.119.pdf" Type="http://schemas.openxmlformats.org/officeDocument/2006/relationships/hyperlink" Id="rId252"/>
    <Relationship TargetMode="External" Target="https://www.legis.iowa.gov/docs/iac/rule/441.78.34.pdf" Type="http://schemas.openxmlformats.org/officeDocument/2006/relationships/hyperlink" Id="rId253"/>
    <Relationship TargetMode="External" Target="https://www.legis.iowa.gov/docs/iac/rule/441.78.34.pdf" Type="http://schemas.openxmlformats.org/officeDocument/2006/relationships/hyperlink" Id="rId254"/>
    <Relationship TargetMode="External" Target="https://www.legis.iowa.gov/docs/iac/rule/441.78.34.pdf" Type="http://schemas.openxmlformats.org/officeDocument/2006/relationships/hyperlink" Id="rId255"/>
    <Relationship TargetMode="External" Target="https://www.legis.iowa.gov/docs/iac/rule/441.79.1.pdf" Type="http://schemas.openxmlformats.org/officeDocument/2006/relationships/hyperlink" Id="rId256"/>
    <Relationship TargetMode="External" Target="https://www.legis.iowa.gov/docs/iac/rule/441.78.34.pdf" Type="http://schemas.openxmlformats.org/officeDocument/2006/relationships/hyperlink" Id="rId257"/>
    <Relationship TargetMode="External" Target="https://www.legis.iowa.gov/docs/iac/rule/441.78.34.pdf" Type="http://schemas.openxmlformats.org/officeDocument/2006/relationships/hyperlink" Id="rId258"/>
    <Relationship TargetMode="External" Target="https://www.legis.iowa.gov/docs/iac/rule/441.78.34.pdf" Type="http://schemas.openxmlformats.org/officeDocument/2006/relationships/hyperlink" Id="rId259"/>
    <Relationship TargetMode="External" Target="https://www.legis.iowa.gov/docs/iac/chapter/441.119.pdf" Type="http://schemas.openxmlformats.org/officeDocument/2006/relationships/hyperlink" Id="rId260"/>
    <Relationship TargetMode="External" Target="https://www.legis.iowa.gov/docs/iac/rule/441.79.3.pdf" Type="http://schemas.openxmlformats.org/officeDocument/2006/relationships/hyperlink" Id="rId261"/>
    <Relationship TargetMode="External" Target="https://www.legis.iowa.gov/docs/iac/chapter/441.79.pdf" Type="http://schemas.openxmlformats.org/officeDocument/2006/relationships/hyperlink" Id="rId262"/>
    <Relationship TargetMode="External" Target="https://www.legis.iowa.gov/docs/iac/chapter/441.79.pdf" Type="http://schemas.openxmlformats.org/officeDocument/2006/relationships/hyperlink" Id="rId263"/>
    <Relationship TargetMode="External" Target="https://www.legis.iowa.gov/docs/iac/rule/441.79.3.pdf" Type="http://schemas.openxmlformats.org/officeDocument/2006/relationships/hyperlink" Id="rId264"/>
    <Relationship TargetMode="External" Target="https://www.legis.iowa.gov/docs/iac/rule/441.78.34.pdf" Type="http://schemas.openxmlformats.org/officeDocument/2006/relationships/hyperlink" Id="rId265"/>
    <Relationship TargetMode="External" Target="https://www.legis.iowa.gov/docs/iac/rule/441.77.30.pdf" Type="http://schemas.openxmlformats.org/officeDocument/2006/relationships/hyperlink" Id="rId266"/>
    <Relationship TargetMode="External" Target="https://www.legis.iowa.gov/docs/iac/rule/441.78.19.pdf" Type="http://schemas.openxmlformats.org/officeDocument/2006/relationships/hyperlink" Id="rId267"/>
    <Relationship TargetMode="External" Target="https://www.legis.iowa.gov/docs/iac/chapter/441.83.pdf" Type="http://schemas.openxmlformats.org/officeDocument/2006/relationships/hyperlink" Id="rId268"/>
    <Relationship TargetMode="External" Target="https://www.legis.iowa.gov/docs/iac/rule/441.78.34.pdf" Type="http://schemas.openxmlformats.org/officeDocument/2006/relationships/hyperlink" Id="rId269"/>
    <Relationship TargetMode="External" Target="https://www.legis.iowa.gov/docs/iac/rule/441.78.34.pdf" Type="http://schemas.openxmlformats.org/officeDocument/2006/relationships/hyperlink" Id="rId270"/>
    <Relationship TargetMode="External" Target="https://www.legis.iowa.gov/docs/iac/rule/441.78.9.pdf" Type="http://schemas.openxmlformats.org/officeDocument/2006/relationships/hyperlink" Id="rId271"/>
    <Relationship TargetMode="External" Target="https://www.legis.iowa.gov/docs/iac/rule/441.78.34.pdf" Type="http://schemas.openxmlformats.org/officeDocument/2006/relationships/hyperlink" Id="rId272"/>
    <Relationship TargetMode="External" Target="https://www.legis.iowa.gov/docs/iac/rule/441.78.34.pdf" Type="http://schemas.openxmlformats.org/officeDocument/2006/relationships/hyperlink" Id="rId273"/>
    <Relationship TargetMode="External" Target="https://www.legis.iowa.gov/docs/iac/rule/441.78.34.pdf" Type="http://schemas.openxmlformats.org/officeDocument/2006/relationships/hyperlink" Id="rId274"/>
    <Relationship TargetMode="External" Target="https://www.legis.iowa.gov/docs/iac/rule/441.78.34.pdf" Type="http://schemas.openxmlformats.org/officeDocument/2006/relationships/hyperlink" Id="rId275"/>
    <Relationship TargetMode="External" Target="https://www.legis.iowa.gov/docs/iac/rule/441.78.34.pdf" Type="http://schemas.openxmlformats.org/officeDocument/2006/relationships/hyperlink" Id="rId276"/>
    <Relationship TargetMode="External" Target="https://www.legis.iowa.gov/docs/iac/rule/441.78.34.pdf" Type="http://schemas.openxmlformats.org/officeDocument/2006/relationships/hyperlink" Id="rId277"/>
    <Relationship TargetMode="External" Target="https://www.legis.iowa.gov/docs/iac/rule/441.83.22.pdf" Type="http://schemas.openxmlformats.org/officeDocument/2006/relationships/hyperlink" Id="rId278"/>
    <Relationship TargetMode="External" Target="https://www.legis.iowa.gov/docs/iac/rule/441.90.4.pdf" Type="http://schemas.openxmlformats.org/officeDocument/2006/relationships/hyperlink" Id="rId279"/>
    <Relationship TargetMode="External" Target="https://www.legis.iowa.gov/docs/iac/rule/441.90.7.pdf" Type="http://schemas.openxmlformats.org/officeDocument/2006/relationships/hyperlink" Id="rId280"/>
    <Relationship TargetMode="External" Target="https://www.legis.iowa.gov/docs/iac/rule/441.79.3.pdf" Type="http://schemas.openxmlformats.org/officeDocument/2006/relationships/hyperlink" Id="rId281"/>
    <Relationship TargetMode="External" Target="https://www.legis.iowa.gov/docs/iac/rule/441.77.30.pdf" Type="http://schemas.openxmlformats.org/officeDocument/2006/relationships/hyperlink" Id="rId282"/>
    <Relationship TargetMode="External" Target="https://www.legis.iowa.gov/docs/iac/rule/441.78.31.pdf" Type="http://schemas.openxmlformats.org/officeDocument/2006/relationships/hyperlink" Id="rId283"/>
    <Relationship TargetMode="External" Target="https://www.legis.iowa.gov/docs/iac/chapter/441.83.pdf" Type="http://schemas.openxmlformats.org/officeDocument/2006/relationships/hyperlink" Id="rId284"/>
    <Relationship TargetMode="External" Target="https://www.legis.iowa.gov/docs/iac/rule/441.24.1.pdf" Type="http://schemas.openxmlformats.org/officeDocument/2006/relationships/hyperlink" Id="rId285"/>
    <Relationship TargetMode="External" Target="https://www.legis.iowa.gov/docs/iac/rule/441.78.9.pdf" Type="http://schemas.openxmlformats.org/officeDocument/2006/relationships/hyperlink" Id="rId286"/>
    <Relationship TargetMode="External" Target="https://www.legis.iowa.gov/docs/iac/rule/441.78.34.pdf" Type="http://schemas.openxmlformats.org/officeDocument/2006/relationships/hyperlink" Id="rId287"/>
    <Relationship TargetMode="External" Target="https://www.legis.iowa.gov/docs/iac/rule/441.78.34.pdf" Type="http://schemas.openxmlformats.org/officeDocument/2006/relationships/hyperlink" Id="rId288"/>
    <Relationship TargetMode="External" Target="https://www.legis.iowa.gov/docs/iac/rule/441.78.34.pdf" Type="http://schemas.openxmlformats.org/officeDocument/2006/relationships/hyperlink" Id="rId289"/>
    <Relationship TargetMode="External" Target="https://www.legis.iowa.gov/docs/iac/rule/441.78.34.pdf" Type="http://schemas.openxmlformats.org/officeDocument/2006/relationships/hyperlink" Id="rId290"/>
    <Relationship TargetMode="External" Target="https://www.legis.iowa.gov/docs/iac/rule/441.78.34.pdf" Type="http://schemas.openxmlformats.org/officeDocument/2006/relationships/hyperlink" Id="rId291"/>
    <Relationship TargetMode="External" Target="https://www.legis.iowa.gov/docs/iac/rule/441.78.34.pdf" Type="http://schemas.openxmlformats.org/officeDocument/2006/relationships/hyperlink" Id="rId292"/>
    <Relationship TargetMode="External" Target="https://www.legis.iowa.gov/docs/iac/rule/441.77.30.pdf" Type="http://schemas.openxmlformats.org/officeDocument/2006/relationships/hyperlink" Id="rId293"/>
    <Relationship TargetMode="External" Target="https://www.legis.iowa.gov/docs/iac/rule/441.78.34.pdf" Type="http://schemas.openxmlformats.org/officeDocument/2006/relationships/hyperlink" Id="rId294"/>
    <Relationship TargetMode="External" Target="https://www.legis.iowa.gov/docs/iac/rule/441.78.25.pdf" Type="http://schemas.openxmlformats.org/officeDocument/2006/relationships/hyperlink" Id="rId295"/>
    <Relationship TargetMode="External" Target="https://www.legis.iowa.gov/docs/iac/rule/441.78.1.pdf" Type="http://schemas.openxmlformats.org/officeDocument/2006/relationships/hyperlink" Id="rId296"/>
    <Relationship TargetMode="External" Target="https://www.legis.iowa.gov/docs/iac/rule/441.78.25.pdf" Type="http://schemas.openxmlformats.org/officeDocument/2006/relationships/hyperlink" Id="rId297"/>
    <Relationship TargetMode="External" Target="https://www.legis.iowa.gov/docs/iac/chapter/441.83.pdf" Type="http://schemas.openxmlformats.org/officeDocument/2006/relationships/hyperlink" Id="rId298"/>
    <Relationship TargetMode="External" Target="https://www.legis.iowa.gov/docs/iac/rule/441.78.13.pdf" Type="http://schemas.openxmlformats.org/officeDocument/2006/relationships/hyperlink" Id="rId299"/>
    <Relationship TargetMode="External" Target="https://www.legis.iowa.gov/docs/iac/rule/441.78.27.pdf" Type="http://schemas.openxmlformats.org/officeDocument/2006/relationships/hyperlink" Id="rId300"/>
    <Relationship TargetMode="External" Target="https://www.legis.iowa.gov/docs/iac/rule/441.77.30.pdf" Type="http://schemas.openxmlformats.org/officeDocument/2006/relationships/hyperlink" Id="rId301"/>
    <Relationship TargetMode="External" Target="https://www.legis.iowa.gov/docs/iac/rule/441.78.41.pdf" Type="http://schemas.openxmlformats.org/officeDocument/2006/relationships/hyperlink" Id="rId302"/>
    <Relationship TargetMode="External" Target="https://www.legis.iowa.gov/docs/iac/rule/441.78.34.pdf" Type="http://schemas.openxmlformats.org/officeDocument/2006/relationships/hyperlink" Id="rId303"/>
    <Relationship TargetMode="External" Target="https://www.legis.iowa.gov/docs/iac/rule/441.78.34.pdf" Type="http://schemas.openxmlformats.org/officeDocument/2006/relationships/hyperlink" Id="rId304"/>
    <Relationship TargetMode="External" Target="https://www.legis.iowa.gov/docs/iac/rule/441.78.34.pdf" Type="http://schemas.openxmlformats.org/officeDocument/2006/relationships/hyperlink" Id="rId305"/>
    <Relationship TargetMode="External" Target="https://www.legis.iowa.gov/docs/iac/rule/441.78.9.pdf" Type="http://schemas.openxmlformats.org/officeDocument/2006/relationships/hyperlink" Id="rId306"/>
    <Relationship TargetMode="External" Target="https://www.legis.iowa.gov/docs/iac/rule/441.78.27.pdf" Type="http://schemas.openxmlformats.org/officeDocument/2006/relationships/hyperlink" Id="rId307"/>
    <Relationship TargetMode="External" Target="https://www.legis.iowa.gov/docs/iac/rule/441.78.34.pdf" Type="http://schemas.openxmlformats.org/officeDocument/2006/relationships/hyperlink" Id="rId308"/>
    <Relationship TargetMode="External" Target="https://www.legis.iowa.gov/docs/iac/rule/441.78.34.pdf" Type="http://schemas.openxmlformats.org/officeDocument/2006/relationships/hyperlink" Id="rId309"/>
    <Relationship TargetMode="External" Target="https://www.legis.iowa.gov/docs/iac/rule/441.77.40.pdf" Type="http://schemas.openxmlformats.org/officeDocument/2006/relationships/hyperlink" Id="rId310"/>
    <Relationship TargetMode="External" Target="https://www.legis.iowa.gov/docs/iac/rule/441.78.34.pdf" Type="http://schemas.openxmlformats.org/officeDocument/2006/relationships/hyperlink" Id="rId311"/>
    <Relationship TargetMode="External" Target="https://www.legis.iowa.gov/docs/iac/rule/441.78.27.pdf" Type="http://schemas.openxmlformats.org/officeDocument/2006/relationships/hyperlink" Id="rId312"/>
    <Relationship TargetMode="External" Target="https://www.legis.iowa.gov/docs/iac/rule/441.78.27.pdf" Type="http://schemas.openxmlformats.org/officeDocument/2006/relationships/hyperlink" Id="rId313"/>
    <Relationship TargetMode="External" Target="https://www.legis.iowa.gov/docs/iac/rule/441.78.34.pdf" Type="http://schemas.openxmlformats.org/officeDocument/2006/relationships/hyperlink" Id="rId314"/>
    <Relationship TargetMode="External" Target="https://www.legis.iowa.gov/docs/iac/rule/441.77.30.pdf" Type="http://schemas.openxmlformats.org/officeDocument/2006/relationships/hyperlink" Id="rId315"/>
    <Relationship TargetMode="External" Target="https://www.legis.iowa.gov/docs/iac/rule/441.78.34.pdf" Type="http://schemas.openxmlformats.org/officeDocument/2006/relationships/hyperlink" Id="rId316"/>
    <Relationship TargetMode="External" Target="https://www.legis.iowa.gov/docs/iac/chapter/441.83.pdf" Type="http://schemas.openxmlformats.org/officeDocument/2006/relationships/hyperlink" Id="rId317"/>
    <Relationship TargetMode="External" Target="https://www.legis.iowa.gov/docs/iac/rule/441.90.4.pdf" Type="http://schemas.openxmlformats.org/officeDocument/2006/relationships/hyperlink" Id="rId318"/>
    <Relationship TargetMode="External" Target="https://www.legis.iowa.gov/docs/iac/rule/441.90.7.pdf" Type="http://schemas.openxmlformats.org/officeDocument/2006/relationships/hyperlink" Id="rId319"/>
    <Relationship TargetMode="External" Target="https://www.legis.iowa.gov/docs/iac/rule/441.78.41.pdf" Type="http://schemas.openxmlformats.org/officeDocument/2006/relationships/hyperlink" Id="rId320"/>
    <Relationship TargetMode="External" Target="https://www.legis.iowa.gov/docs/iac/rule/441.78.27.pdf" Type="http://schemas.openxmlformats.org/officeDocument/2006/relationships/hyperlink" Id="rId321"/>
    <Relationship TargetMode="External" Target="https://www.legis.iowa.gov/docs/iac/rule/441.78.34.pdf" Type="http://schemas.openxmlformats.org/officeDocument/2006/relationships/hyperlink" Id="rId322"/>
    <Relationship TargetMode="External" Target="https://www.legis.iowa.gov/docs/iac/rule/441.78.34.pdf" Type="http://schemas.openxmlformats.org/officeDocument/2006/relationships/hyperlink" Id="rId323"/>
    <Relationship TargetMode="External" Target="https://www.legis.iowa.gov/docs/iac/rule/441.79.1.pdf" Type="http://schemas.openxmlformats.org/officeDocument/2006/relationships/hyperlink" Id="rId324"/>
    <Relationship TargetMode="External" Target="https://www.legis.iowa.gov/docs/iac/rule/441.78.34.pdf" Type="http://schemas.openxmlformats.org/officeDocument/2006/relationships/hyperlink" Id="rId325"/>
    <Relationship TargetMode="External" Target="https://www.legis.iowa.gov/docs/iac/rule/441.78.27.pdf" Type="http://schemas.openxmlformats.org/officeDocument/2006/relationships/hyperlink" Id="rId326"/>
    <Relationship TargetMode="External" Target="https://www.legis.iowa.gov/docs/iac/rule/441.78.34.pdf" Type="http://schemas.openxmlformats.org/officeDocument/2006/relationships/hyperlink" Id="rId327"/>
    <Relationship TargetMode="External" Target="https://www.legis.iowa.gov/docs/iac/rule/441.78.34.pdf" Type="http://schemas.openxmlformats.org/officeDocument/2006/relationships/hyperlink" Id="rId328"/>
    <Relationship TargetMode="External" Target="https://www.legis.iowa.gov/docs/iac/rule/441.78.34.pdf" Type="http://schemas.openxmlformats.org/officeDocument/2006/relationships/hyperlink" Id="rId329"/>
    <Relationship TargetMode="External" Target="https://www.legis.iowa.gov/docs/iac/rule/441.77.30.pdf" Type="http://schemas.openxmlformats.org/officeDocument/2006/relationships/hyperlink" Id="rId330"/>
    <Relationship TargetMode="External" Target="https://www.legis.iowa.gov/docs/iac/rule/441.78.34.pdf" Type="http://schemas.openxmlformats.org/officeDocument/2006/relationships/hyperlink" Id="rId331"/>
    <Relationship TargetMode="External" Target="https://www.legis.iowa.gov/docs/iac/chapter/441.83.pdf" Type="http://schemas.openxmlformats.org/officeDocument/2006/relationships/hyperlink" Id="rId332"/>
    <Relationship TargetMode="External" Target="https://www.legis.iowa.gov/docs/iac/rule/441.78.34.pdf" Type="http://schemas.openxmlformats.org/officeDocument/2006/relationships/hyperlink" Id="rId333"/>
    <Relationship TargetMode="External" Target="https://www.legis.iowa.gov/docs/iac/rule/78.34.9.pdf" Type="http://schemas.openxmlformats.org/officeDocument/2006/relationships/hyperlink" Id="rId334"/>
    <Relationship TargetMode="External" Target="https://www.legis.iowa.gov/docs/iac/rule/441.78.34.pdf" Type="http://schemas.openxmlformats.org/officeDocument/2006/relationships/hyperlink" Id="rId335"/>
    <Relationship TargetMode="External" Target="https://www.legis.iowa.gov/docs/iac/rule/441.78.43.pdf" Type="http://schemas.openxmlformats.org/officeDocument/2006/relationships/hyperlink" Id="rId336"/>
    <Relationship TargetMode="External" Target="https://www.legis.iowa.gov/docs/iac/rule/441.78.34.pdf" Type="http://schemas.openxmlformats.org/officeDocument/2006/relationships/hyperlink" Id="rId337"/>
    <Relationship TargetMode="External" Target="https://www.legis.iowa.gov/docs/iac/rule/441.77.30.pdf" Type="http://schemas.openxmlformats.org/officeDocument/2006/relationships/hyperlink" Id="rId338"/>
    <Relationship TargetMode="External" Target="https://www.legis.iowa.gov/docs/iac/rule/441.78.34.pdf" Type="http://schemas.openxmlformats.org/officeDocument/2006/relationships/hyperlink" Id="rId339"/>
    <Relationship TargetMode="External" Target="https://www.legis.iowa.gov/docs/iac/chapter/441.90.pdf" Type="http://schemas.openxmlformats.org/officeDocument/2006/relationships/hyperlink" Id="rId340"/>
    <Relationship TargetMode="External" Target="https://www.legis.iowa.gov/docs/iac/chapter/441.90.pdf" Type="http://schemas.openxmlformats.org/officeDocument/2006/relationships/hyperlink" Id="rId341"/>
    <Relationship TargetMode="External" Target="https://www.legis.iowa.gov/docs/iac/rule/441.77.47.pdf" Type="http://schemas.openxmlformats.org/officeDocument/2006/relationships/hyperlink" Id="rId342"/>
    <Relationship TargetMode="External" Target="https://www.legis.iowa.gov/docs/iac/rule/441.78.1.pdf" Type="http://schemas.openxmlformats.org/officeDocument/2006/relationships/hyperlink" Id="rId343"/>
    <Relationship TargetMode="External" Target="https://www.legis.iowa.gov/docs/iac/chapter/441.83.pdf" Type="http://schemas.openxmlformats.org/officeDocument/2006/relationships/hyperlink" Id="rId344"/>
    <Relationship TargetMode="External" Target="https://www.legis.iowa.gov/docs/iac/rule/441.77.30.pdf" Type="http://schemas.openxmlformats.org/officeDocument/2006/relationships/hyperlink" Id="rId345"/>
    <Relationship TargetMode="External" Target="https://www.legis.iowa.gov/docs/iac/rule/441.78.34.pdf" Type="http://schemas.openxmlformats.org/officeDocument/2006/relationships/hyperlink" Id="rId346"/>
    <Relationship TargetMode="External" Target="https://www.legis.iowa.gov/docs/iac/rule/441.79.1.pdf" Type="http://schemas.openxmlformats.org/officeDocument/2006/relationships/hyperlink" Id="rId347"/>
    <Relationship TargetMode="External" Target="https://www.legis.iowa.gov/docs/iac/chapter/441.83.pdf" Type="http://schemas.openxmlformats.org/officeDocument/2006/relationships/hyperlink" Id="rId348"/>
    <Relationship TargetMode="External" Target="https://www.legis.iowa.gov/docs/iac/rule/441.24.1.pdf" Type="http://schemas.openxmlformats.org/officeDocument/2006/relationships/hyperlink" Id="rId349"/>
    <Relationship TargetMode="External" Target="https://www.legis.iowa.gov/docs/iac/rule/441.78.34.pdf" Type="http://schemas.openxmlformats.org/officeDocument/2006/relationships/hyperlink" Id="rId350"/>
    <Relationship TargetMode="External" Target="https://www.legis.iowa.gov/docs/iac/rule/481.655.9.pdf" Type="http://schemas.openxmlformats.org/officeDocument/2006/relationships/hyperlink" Id="rId351"/>
    <Relationship TargetMode="External" Target="https://www.legis.iowa.gov/docs/iac/rule/441.83.81.pdf" Type="http://schemas.openxmlformats.org/officeDocument/2006/relationships/hyperlink" Id="rId352"/>
    <Relationship TargetMode="External" Target="https://www.legis.iowa.gov/docs/iac/chapter/441.75.pdf" Type="http://schemas.openxmlformats.org/officeDocument/2006/relationships/hyperlink" Id="rId353"/>
    <Relationship TargetMode="External" Target="https://www.legis.iowa.gov/docs/iac/rule/441.83.81.pdf" Type="http://schemas.openxmlformats.org/officeDocument/2006/relationships/hyperlink" Id="rId354"/>
    <Relationship TargetMode="External" Target="https://www.legis.iowa.gov/docs/iac/rule/441.78.55.pdf" Type="http://schemas.openxmlformats.org/officeDocument/2006/relationships/hyperlink" Id="rId355"/>
    <Relationship TargetMode="External" Target="https://www.legis.iowa.gov/docs/iac/rule/441.78.55.pdf" Type="http://schemas.openxmlformats.org/officeDocument/2006/relationships/hyperlink" Id="rId356"/>
    <Relationship TargetMode="External" Target="https://www.legis.iowa.gov/docs/iac/rule/441.78.55.pdf" Type="http://schemas.openxmlformats.org/officeDocument/2006/relationships/hyperlink" Id="rId357"/>
    <Relationship TargetMode="External" Target="https://www.legis.iowa.gov/docs/iac/rule/441.77.53.pdf" Type="http://schemas.openxmlformats.org/officeDocument/2006/relationships/hyperlink" Id="rId358"/>
    <Relationship TargetMode="External" Target="https://www.legis.iowa.gov/docs/iac/rule/441.79.3.pdf" Type="http://schemas.openxmlformats.org/officeDocument/2006/relationships/hyperlink" Id="rId359"/>
    <Relationship TargetMode="External" Target="https://www.legis.iowa.gov/docs/iac/rule/441.78.56.pdf" Type="http://schemas.openxmlformats.org/officeDocument/2006/relationships/hyperlink" Id="rId360"/>
    <Relationship TargetMode="External" Target="https://www.legis.iowa.gov/docs/iac/rule/441.78.56.pdf" Type="http://schemas.openxmlformats.org/officeDocument/2006/relationships/hyperlink" Id="rId361"/>
    <Relationship TargetMode="External" Target="https://www.legis.iowa.gov/docs/iac/rule/441.78.56.pdf" Type="http://schemas.openxmlformats.org/officeDocument/2006/relationships/hyperlink" Id="rId362"/>
    <Relationship TargetMode="External" Target="https://www.legis.iowa.gov/docs/iac/rule/441.78.56.pdf" Type="http://schemas.openxmlformats.org/officeDocument/2006/relationships/hyperlink" Id="rId363"/>
    <Relationship TargetMode="External" Target="https://www.legis.iowa.gov/docs/iac/rule/441.78.9.pdf" Type="http://schemas.openxmlformats.org/officeDocument/2006/relationships/hyperlink" Id="rId364"/>
    <Relationship TargetMode="External" Target="https://www.legis.iowa.gov/docs/iac/rule/441.79.1.pdf" Type="http://schemas.openxmlformats.org/officeDocument/2006/relationships/hyperlink" Id="rId365"/>
    <Relationship TargetMode="External" Target="https://www.legis.iowa.gov/docs/iac/rule/441.75.6.pdf" Type="http://schemas.openxmlformats.org/officeDocument/2006/relationships/hyperlink" Id="rId366"/>
    <Relationship TargetMode="External" Target="https://www.legis.iowa.gov/docs/iac/rule/441.79.1.pdf" Type="http://schemas.openxmlformats.org/officeDocument/2006/relationships/hyperlink" Id="rId367"/>
    <Relationship TargetMode="External" Target="https://www.legis.iowa.gov/docs/iac/rule/441.75.1.pdf" Type="http://schemas.openxmlformats.org/officeDocument/2006/relationships/hyperlink" Id="rId368"/>
    <Relationship TargetMode="External" Target="https://www.legis.iowa.gov/docs/iac/rule/441.75.21.pdf" Type="http://schemas.openxmlformats.org/officeDocument/2006/relationships/hyperlink" Id="rId369"/>
    <Relationship TargetMode="External" Target="https://www.legis.iowa.gov/docs/iac/rule/441.75.21.pdf" Type="http://schemas.openxmlformats.org/officeDocument/2006/relationships/hyperlink" Id="rId370"/>
    <Relationship TargetMode="External" Target="https://www.legis.iowa.gov/docs/iac/rule/441.77.54.pdf" Type="http://schemas.openxmlformats.org/officeDocument/2006/relationships/hyperlink" Id="rId371"/>
    <Relationship TargetMode="External" Target="https://www.legis.iowa.gov/docs/iac/chapter/441.24.pdf" Type="http://schemas.openxmlformats.org/officeDocument/2006/relationships/hyperlink" Id="rId372"/>
    <Relationship TargetMode="External" Target="https://www.legis.iowa.gov/docs/iac/rule/441.77.55.pdf" Type="http://schemas.openxmlformats.org/officeDocument/2006/relationships/hyperlink" Id="rId373"/>
    <Relationship TargetMode="External" Target="https://www.legis.iowa.gov/docs/iac/chapter/481.71.pdf" Type="http://schemas.openxmlformats.org/officeDocument/2006/relationships/hyperlink" Id="rId374"/>
    <Relationship TargetMode="External" Target="https://www.legis.iowa.gov/docs/ico/chapter/249A.pdf" Type="http://schemas.openxmlformats.org/officeDocument/2006/relationships/hyperlink" Id="rId375"/>
    <Relationship Target="footer.xml" Type="http://schemas.openxmlformats.org/officeDocument/2006/relationships/footer" Id="rId37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