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61C" w:id="1"/>
    <w:p>
      <w:pPr>
        <w:spacing w:before="0" w:after="0" w:line="480"/>
        <w:ind w:left="120"/>
        <w:jc w:val="right"/>
      </w:pPr>
      <w:r>
        <w:rPr>
          <w:rFonts w:ascii="Times New Roman" w:hAnsi="Times New Roman"/>
          <w:b/>
          <w:i w:val="false"/>
          <w:color w:val="000000"/>
          <w:sz w:val="28"/>
        </w:rPr>
        <w:t>ARC 9861C</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city requests for closure of primary road extensions</w:t>
      </w:r>
    </w:p>
    <w:p>
      <w:pPr>
        <w:pBdr>
          <w:top w:space="5"/>
        </w:pBdr>
        <w:spacing w:before="0" w:after="0" w:line="480"/>
        <w:ind w:left="120"/>
        <w:jc w:val="both"/>
      </w:pPr>
      <w:r>
        <w:rPr>
          <w:rFonts w:ascii="Times New Roman" w:hAnsi="Times New Roman"/>
          <w:b w:val="false"/>
          <w:i w:val="false"/>
          <w:color w:val="000000"/>
          <w:sz w:val="24"/>
        </w:rPr>
        <w:t>    The Transportation Department hereby rescinds Chapter 151, “City Requests for Closure of Primary Road Extensions,”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307.12(1)“j.”</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321.348.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permanently rescinding Chapter 151 because there is no specific rulemaking authority within the Iowa Code that requires these rules. The Department is proposing to instead publish an instructional memorandum that will be available on the Department’s website to provide guidance for the requirements and procedures for closing primary road extensions in cities for reasons other than fire, construction, or repair.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August 6, 2025, as </w:t>
      </w:r>
      <w:r>
        <w:rPr>
          <w:rFonts w:ascii="Times New Roman" w:hAnsi="Times New Roman"/>
          <w:b/>
          <w:i w:val="false"/>
          <w:color w:val="000000"/>
          <w:sz w:val="24"/>
        </w:rPr>
        <w:t>ARC 9451C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26,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October 14,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761—Chapter 11.</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January 28,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761—Chapter 151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11/24/25, effective 1/28/26]</w:t>
      </w:r>
    </w:p>
    <w:p>
      <w:pPr>
        <w:spacing w:before="0" w:after="0" w:line="480"/>
        <w:ind w:left="120"/>
        <w:jc w:val="center"/>
      </w:pPr>
      <w:r>
        <w:rPr>
          <w:rFonts w:ascii="Times New Roman" w:hAnsi="Times New Roman"/>
          <w:b w:val="false"/>
          <w:i w:val="false"/>
          <w:color w:val="000000"/>
          <w:sz w:val="24"/>
        </w:rPr>
        <w:t>[Published 12/24/25]</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12/24/25.</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