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60C" w:id="1"/>
    <w:p>
      <w:pPr>
        <w:spacing w:before="0" w:after="0" w:line="480"/>
        <w:ind w:left="120"/>
        <w:jc w:val="right"/>
      </w:pPr>
      <w:r>
        <w:rPr>
          <w:rFonts w:ascii="Times New Roman" w:hAnsi="Times New Roman"/>
          <w:b/>
          <w:i w:val="false"/>
          <w:color w:val="000000"/>
          <w:sz w:val="28"/>
        </w:rPr>
        <w:t>ARC 9860C</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subsidized adoptions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amends Chapter 201, “Subsidized Adoptions,”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600.17 through 600.23.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2025 Iowa Acts, House File 1049.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implements 2025 Iowa Acts, House File 1049, section 22, by adding an appropriated increase in foster care and subsidized adoption rates to the Iowa Administrative Code. The Subsidized Adoption Program provides financial assistance to interested adoptive parents capable of providing suitable care but lacking in necessary economic resources.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October 29, 2025, as </w:t>
      </w:r>
      <w:r>
        <w:rPr>
          <w:rFonts w:ascii="Times New Roman" w:hAnsi="Times New Roman"/>
          <w:b/>
          <w:i w:val="false"/>
          <w:color w:val="000000"/>
          <w:sz w:val="24"/>
        </w:rPr>
        <w:t>ARC 9640C</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November 18, 2025</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December 3,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This rulemaking has no fiscal impact to the State of Iowa beyond the $148,232 appropriated in the underlying legislation.</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6.</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February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paragraphs </w:t>
      </w:r>
      <w:r>
        <w:rPr>
          <w:rFonts w:ascii="Times New Roman" w:hAnsi="Times New Roman"/>
          <w:b/>
          <w:i w:val="false"/>
          <w:color w:val="000000"/>
          <w:sz w:val="24"/>
        </w:rPr>
        <w:t>201.5(6)“a”</w:t>
      </w:r>
      <w:r>
        <w:rPr>
          <w:rFonts w:ascii="Times New Roman" w:hAnsi="Times New Roman"/>
          <w:b w:val="false"/>
          <w:i w:val="false"/>
          <w:color w:val="000000"/>
          <w:sz w:val="24"/>
        </w:rPr>
        <w:t xml:space="preserve"> and </w:t>
      </w:r>
      <w:r>
        <w:rPr>
          <w:rFonts w:ascii="Times New Roman" w:hAnsi="Times New Roman"/>
          <w:b/>
          <w:i w:val="false"/>
          <w:color w:val="000000"/>
          <w:sz w:val="24"/>
        </w:rPr>
        <w:t>201.5(6)“b”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maximum monthly maintenance payment for a child in subsidized adoption shall be made pursuant to the foster family care maintenance rates according to the age and special needs of the child as found in </w:t>
      </w:r>
      <w:hyperlink r:id="rId5">
        <w:r>
          <w:rPr>
            <w:rStyle w:val="Hyperlink"/>
            <w:rFonts w:ascii="Times New Roman" w:hAnsi="Times New Roman"/>
            <w:b w:val="false"/>
            <w:i w:val="false"/>
            <w:color w:val="000000"/>
            <w:sz w:val="24"/>
          </w:rPr>
          <w:t>441—subrule 156.6(1)</w:t>
        </w:r>
      </w:hyperlink>
      <w:r>
        <w:rPr>
          <w:rFonts w:ascii="Times New Roman" w:hAnsi="Times New Roman"/>
          <w:b w:val="false"/>
          <w:i w:val="false"/>
          <w:color w:val="000000"/>
          <w:sz w:val="24"/>
        </w:rPr>
        <w:t xml:space="preserve"> and </w:t>
      </w:r>
      <w:hyperlink r:id="rId6">
        <w:r>
          <w:rPr>
            <w:rStyle w:val="Hyperlink"/>
            <w:rFonts w:ascii="Times New Roman" w:hAnsi="Times New Roman"/>
            <w:b w:val="false"/>
            <w:i w:val="false"/>
            <w:color w:val="000000"/>
            <w:sz w:val="24"/>
          </w:rPr>
          <w:t>441—paragraph 156.6(4)</w:t>
        </w:r>
      </w:hyperlink>
      <w:r>
        <w:rPr>
          <w:rFonts w:ascii="Times New Roman" w:hAnsi="Times New Roman"/>
          <w:b w:val="false"/>
          <w:i/>
          <w:color w:val="000000"/>
          <w:sz w:val="24"/>
        </w:rPr>
        <w:t>“f”</w:t>
      </w:r>
      <w:r>
        <w:rPr>
          <w:rFonts w:ascii="Times New Roman" w:hAnsi="Times New Roman"/>
          <w:b w:val="false"/>
          <w:i w:val="false"/>
          <w:color w:val="000000"/>
          <w:sz w:val="24"/>
        </w:rPr>
        <w:t xml:space="preserve"> for eligible adoptions that take place on or after July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Eligible subsidized and future subsidized adoptions that took place on  June 30,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or before will remain on the basic rate in effect on June 30,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Basic rate effective </w:t>
      </w:r>
      <w:r>
        <w:rPr>
          <w:rFonts w:ascii="Times New Roman" w:hAnsi="Times New Roman"/>
          <w:b w:val="false"/>
          <w:i w:val="false"/>
          <w:strike/>
          <w:color w:val="000000"/>
          <w:sz w:val="24"/>
        </w:rPr>
        <w:t xml:space="preserve">June 30,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July 1, 2025</w:t>
      </w:r>
      <w:r>
        <w:rPr>
          <w:rFonts w:ascii="Times New Roman" w:hAnsi="Times New Roman"/>
          <w:b w:val="false"/>
          <w:i w:val="false"/>
          <w:color w:val="000000"/>
          <w:sz w:val="24"/>
        </w:rPr>
        <w:t>:</w:t>
      </w:r>
    </w:p>
    <w:tbl>
      <w:tblPr>
        <w:tblW w:w="0" w:type="auto"/>
        <w:tblCellSpacing w:w="0" w:type="auto"/>
        <w:tblInd w:w="2715" w:type="dxa"/>
        <w:tblBorders>
          <w:top w:val="none"/>
          <w:left w:val="none"/>
          <w:bottom w:val="none"/>
          <w:right w:val="none"/>
          <w:insideH w:val="none"/>
          <w:insideV w:val="none"/>
        </w:tblBorders>
      </w:tblPr>
      <w:tblGrid>
        <w:gridCol w:w="2880"/>
        <w:gridCol w:w="2880"/>
      </w:tblGrid>
      <w:tr>
        <w:trPr>
          <w:trHeight w:val="510" w:hRule="atLeast"/>
        </w:trPr>
        <w:tc>
          <w:tcPr>
            <w:tcW w:w="288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Age of child</w:t>
            </w:r>
          </w:p>
        </w:tc>
        <w:tc>
          <w:tcPr>
            <w:tcW w:w="2880"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Daily rate</w:t>
            </w:r>
          </w:p>
        </w:tc>
      </w:tr>
      <w:tr>
        <w:trPr>
          <w:trHeight w:val="510" w:hRule="atLeast"/>
        </w:trPr>
        <w:tc>
          <w:tcPr>
            <w:tcW w:w="288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0 through 5</w:t>
            </w:r>
          </w:p>
        </w:tc>
        <w:tc>
          <w:tcPr>
            <w:tcW w:w="2880" w:type="dxa"/>
            <w:tcBorders/>
            <w:tcMar>
              <w:top w:w="30" w:type="dxa"/>
              <w:left w:w="30" w:type="dxa"/>
              <w:bottom w:w="15" w:type="dxa"/>
              <w:right w:w="30" w:type="dxa"/>
            </w:tcMar>
            <w:vAlign w:val="top"/>
          </w:tcPr>
          <w:p>
            <w:pPr>
              <w:spacing w:before="0" w:after="0" w:line="480"/>
              <w:ind w:left="160"/>
              <w:jc w:val="center"/>
            </w:pPr>
            <w:r>
              <w:rPr>
                <w:rFonts w:ascii="Times New Roman" w:hAnsi="Times New Roman"/>
                <w:b w:val="false"/>
                <w:i w:val="false"/>
                <w:strike/>
                <w:color w:val="000000"/>
                <w:sz w:val="24"/>
              </w:rPr>
              <w:t>$16.78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$18.50</w:t>
            </w:r>
          </w:p>
        </w:tc>
      </w:tr>
      <w:tr>
        <w:trPr>
          <w:trHeight w:val="510" w:hRule="atLeast"/>
        </w:trPr>
        <w:tc>
          <w:tcPr>
            <w:tcW w:w="288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6 through 11</w:t>
            </w:r>
          </w:p>
        </w:tc>
        <w:tc>
          <w:tcPr>
            <w:tcW w:w="2880" w:type="dxa"/>
            <w:tcBorders/>
            <w:tcMar>
              <w:top w:w="30" w:type="dxa"/>
              <w:left w:w="30" w:type="dxa"/>
              <w:bottom w:w="15" w:type="dxa"/>
              <w:right w:w="30" w:type="dxa"/>
            </w:tcMar>
            <w:vAlign w:val="top"/>
          </w:tcPr>
          <w:p>
            <w:pPr>
              <w:spacing w:before="0" w:after="0" w:line="480"/>
              <w:ind w:left="160"/>
              <w:jc w:val="center"/>
            </w:pPr>
            <w:r>
              <w:rPr>
                <w:rFonts w:ascii="Times New Roman" w:hAnsi="Times New Roman"/>
                <w:b w:val="false"/>
                <w:i w:val="false"/>
                <w:strike/>
                <w:color w:val="000000"/>
                <w:sz w:val="24"/>
              </w:rPr>
              <w:t>$17.45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$19.24</w:t>
            </w:r>
          </w:p>
        </w:tc>
      </w:tr>
      <w:tr>
        <w:trPr>
          <w:trHeight w:val="510" w:hRule="atLeast"/>
        </w:trPr>
        <w:tc>
          <w:tcPr>
            <w:tcW w:w="288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12 through 15</w:t>
            </w:r>
          </w:p>
        </w:tc>
        <w:tc>
          <w:tcPr>
            <w:tcW w:w="2880" w:type="dxa"/>
            <w:tcBorders/>
            <w:tcMar>
              <w:top w:w="30" w:type="dxa"/>
              <w:left w:w="30" w:type="dxa"/>
              <w:bottom w:w="15" w:type="dxa"/>
              <w:right w:w="30" w:type="dxa"/>
            </w:tcMar>
            <w:vAlign w:val="top"/>
          </w:tcPr>
          <w:p>
            <w:pPr>
              <w:spacing w:before="0" w:after="0" w:line="480"/>
              <w:ind w:left="160"/>
              <w:jc w:val="center"/>
            </w:pPr>
            <w:r>
              <w:rPr>
                <w:rFonts w:ascii="Times New Roman" w:hAnsi="Times New Roman"/>
                <w:b w:val="false"/>
                <w:i w:val="false"/>
                <w:strike/>
                <w:color w:val="000000"/>
                <w:sz w:val="24"/>
              </w:rPr>
              <w:t>$19.10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$21.06</w:t>
            </w:r>
          </w:p>
        </w:tc>
      </w:tr>
      <w:tr>
        <w:trPr>
          <w:trHeight w:val="510" w:hRule="atLeast"/>
        </w:trPr>
        <w:tc>
          <w:tcPr>
            <w:tcW w:w="288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16 or older</w:t>
            </w:r>
          </w:p>
        </w:tc>
        <w:tc>
          <w:tcPr>
            <w:tcW w:w="2880" w:type="dxa"/>
            <w:tcBorders/>
            <w:tcMar>
              <w:top w:w="30" w:type="dxa"/>
              <w:left w:w="30" w:type="dxa"/>
              <w:bottom w:w="15" w:type="dxa"/>
              <w:right w:w="30" w:type="dxa"/>
            </w:tcMar>
            <w:vAlign w:val="top"/>
          </w:tcPr>
          <w:p>
            <w:pPr>
              <w:spacing w:before="0" w:after="0" w:line="480"/>
              <w:ind w:left="160"/>
              <w:jc w:val="center"/>
            </w:pPr>
            <w:r>
              <w:rPr>
                <w:rFonts w:ascii="Times New Roman" w:hAnsi="Times New Roman"/>
                <w:b w:val="false"/>
                <w:i w:val="false"/>
                <w:strike/>
                <w:color w:val="000000"/>
                <w:sz w:val="24"/>
              </w:rPr>
              <w:t>$19.35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$21.34</w:t>
            </w:r>
          </w:p>
        </w:tc>
      </w:tr>
    </w:tbl>
    <w:p>
      <w:pPr>
        <w:spacing w:before="0" w:after="0" w:line="480"/>
        <w:ind w:left="120"/>
        <w:jc w:val="center"/>
      </w:pPr>
      <w:r>
        <w:rPr>
          <w:rFonts w:ascii="Times New Roman" w:hAnsi="Times New Roman"/>
          <w:b w:val="false"/>
          <w:i w:val="false"/>
          <w:color w:val="000000"/>
          <w:sz w:val="24"/>
        </w:rPr>
        <w:t>[Filed 12/3/25, effective 2/1/26]</w:t>
      </w:r>
    </w:p>
    <w:p>
      <w:pPr>
        <w:spacing w:before="0" w:after="0" w:line="480"/>
        <w:ind w:left="120"/>
        <w:jc w:val="center"/>
      </w:pPr>
      <w:r>
        <w:rPr>
          <w:rFonts w:ascii="Times New Roman" w:hAnsi="Times New Roman"/>
          <w:b w:val="false"/>
          <w:i w:val="false"/>
          <w:color w:val="000000"/>
          <w:sz w:val="24"/>
        </w:rPr>
        <w:t>[Published 12/24/25]</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12/24/25.</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441.156.6.pdf" Type="http://schemas.openxmlformats.org/officeDocument/2006/relationships/hyperlink" Id="rId5"/>
    <Relationship TargetMode="External" Target="https://www.legis.iowa.gov/docs/iac/rule/441.156.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