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59C" w:id="1"/>
    <w:p>
      <w:pPr>
        <w:spacing w:before="0" w:after="0" w:line="480"/>
        <w:ind w:left="120"/>
        <w:jc w:val="right"/>
      </w:pPr>
      <w:r>
        <w:rPr>
          <w:rFonts w:ascii="Times New Roman" w:hAnsi="Times New Roman"/>
          <w:b/>
          <w:i w:val="false"/>
          <w:color w:val="000000"/>
          <w:sz w:val="28"/>
        </w:rPr>
        <w:t>ARC 9859C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nursing facilities, intermediate care facilities for persons with an intellectual disability, and services in psychiatric institutions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amends Chapter 81, “Nursing Facilities,” Chapter 82, “Intermediate Care Facilities for Persons with an Intellectual Disability,” and Chapter 85, “Services in Psychiatric Institutions,”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2025 Iowa Acts, House File 1049.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implements 2025 Iowa Acts, House File 1049, section 19, which increases the personal needs allowance described in Iowa Code chapters 81, 82, and 85 from $50 to $55.</w:t>
      </w:r>
    </w:p>
    <w:p>
      <w:pPr>
        <w:spacing w:before="0" w:after="0" w:line="480"/>
        <w:ind w:left="120"/>
        <w:jc w:val="both"/>
      </w:pPr>
      <w:r>
        <w:rPr>
          <w:rFonts w:ascii="Times New Roman" w:hAnsi="Times New Roman"/>
          <w:b w:val="false"/>
          <w:i w:val="false"/>
          <w:color w:val="000000"/>
          <w:sz w:val="24"/>
        </w:rPr>
        <w:t>    In addition, this rulemaking updates incorrect cross-references in subrule 81.13(2).</w:t>
      </w:r>
    </w:p>
    <w:p>
      <w:pPr>
        <w:spacing w:before="0" w:after="0" w:line="480"/>
        <w:ind w:left="120"/>
        <w:jc w:val="both"/>
      </w:pPr>
      <w:r>
        <w:rPr>
          <w:rFonts w:ascii="Times New Roman" w:hAnsi="Times New Roman"/>
          <w:b w:val="false"/>
          <w:i w:val="false"/>
          <w:color w:val="000000"/>
          <w:sz w:val="24"/>
        </w:rPr>
        <w:t>    All references to Iowa Code section 249A.30A herein are to that section as amended by 2025 Iowa Acts, House File 1049.</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October 29, 2025, as </w:t>
      </w:r>
      <w:r>
        <w:rPr>
          <w:rFonts w:ascii="Times New Roman" w:hAnsi="Times New Roman"/>
          <w:b/>
          <w:i w:val="false"/>
          <w:color w:val="000000"/>
          <w:sz w:val="24"/>
        </w:rPr>
        <w:t>ARC 9642C</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November 18, 2025</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December 3,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This rulemaking has no fiscal impact to the State of Iowa beyond the $330,513 that was allocated to implement the personal needs allowance increase outlined in Sections 18 and 19 of 2025 Iowa Acts, House File 1049.</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441—Chapter 6.</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February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81.13(2)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81.13(2)</w:t>
      </w:r>
      <w:r>
        <w:rPr>
          <w:rFonts w:ascii="Times New Roman" w:hAnsi="Times New Roman"/>
          <w:b w:val="false"/>
          <w:i w:val="false"/>
          <w:color w:val="000000"/>
          <w:sz w:val="24"/>
        </w:rPr>
        <w:t> </w:t>
      </w:r>
      <w:r>
        <w:rPr>
          <w:rFonts w:ascii="Times New Roman" w:hAnsi="Times New Roman"/>
          <w:b w:val="false"/>
          <w:i/>
          <w:color w:val="000000"/>
          <w:sz w:val="24"/>
        </w:rPr>
        <w:t xml:space="preserve">State review and approval of nurse aide training and competency evaluation programs or competency evaluation programs.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of inspections, appeals, and licensing will, in the course of all surveys, determine whether the nurse aide training and evaluation requirements of paragraph </w:t>
      </w:r>
      <w:hyperlink r:id="rId5">
        <w:r>
          <w:rPr>
            <w:rStyle w:val="Hyperlink"/>
            <w:rFonts w:ascii="Times New Roman" w:hAnsi="Times New Roman"/>
            <w:b w:val="false"/>
            <w:i w:val="false"/>
            <w:strike/>
            <w:color w:val="000000"/>
            <w:sz w:val="24"/>
          </w:rPr>
          <w:t>81.11(19)</w:t>
        </w:r>
        <w:r>
          <w:rPr>
            <w:rFonts w:ascii="Times New Roman" w:hAnsi="Times New Roman"/>
            <w:b w:val="false"/>
            <w:i/>
            <w:strike/>
            <w:color w:val="000000"/>
            <w:sz w:val="24"/>
          </w:rPr>
          <w:t>“e”</w:t>
        </w:r>
      </w:hyperlink>
      <w:r>
        <w:rPr>
          <w:rFonts w:ascii="Times New Roman" w:hAnsi="Times New Roman"/>
          <w:b w:val="false"/>
          <w:i w:val="false"/>
          <w:color w:val="000000"/>
          <w:sz w:val="24"/>
          <w:u w:val="single"/>
        </w:rPr>
        <w:t> </w:t>
      </w:r>
      <w:hyperlink r:id="rId6">
        <w:r>
          <w:rPr>
            <w:rStyle w:val="Hyperlink"/>
            <w:rFonts w:ascii="Times New Roman" w:hAnsi="Times New Roman"/>
            <w:b w:val="false"/>
            <w:i w:val="false"/>
            <w:color w:val="000000"/>
            <w:sz w:val="24"/>
            <w:u w:val="single"/>
          </w:rPr>
          <w:t>81.11(19)</w:t>
        </w:r>
      </w:hyperlink>
      <w:r>
        <w:rPr>
          <w:rFonts w:ascii="Times New Roman" w:hAnsi="Times New Roman"/>
          <w:b w:val="false"/>
          <w:i/>
          <w:color w:val="000000"/>
          <w:sz w:val="24"/>
          <w:u w:val="single"/>
        </w:rPr>
        <w:t>“b”</w:t>
      </w:r>
      <w:r>
        <w:rPr>
          <w:rFonts w:ascii="Times New Roman" w:hAnsi="Times New Roman"/>
          <w:b w:val="false"/>
          <w:i w:val="false"/>
          <w:color w:val="000000"/>
          <w:sz w:val="24"/>
        </w:rPr>
        <w:t xml:space="preserve"> and subrule </w:t>
      </w:r>
      <w:hyperlink r:id="rId7">
        <w:r>
          <w:rPr>
            <w:rStyle w:val="Hyperlink"/>
            <w:rFonts w:ascii="Times New Roman" w:hAnsi="Times New Roman"/>
            <w:b w:val="false"/>
            <w:i w:val="false"/>
            <w:strike/>
            <w:color w:val="000000"/>
            <w:sz w:val="24"/>
          </w:rPr>
          <w:t>81.14(1)</w:t>
        </w:r>
      </w:hyperlink>
      <w:r>
        <w:rPr>
          <w:rFonts w:ascii="Times New Roman" w:hAnsi="Times New Roman"/>
          <w:b w:val="false"/>
          <w:i w:val="false"/>
          <w:color w:val="000000"/>
          <w:sz w:val="24"/>
          <w:u w:val="single"/>
        </w:rPr>
        <w:t> </w:t>
      </w:r>
      <w:hyperlink r:id="rId8">
        <w:r>
          <w:rPr>
            <w:rStyle w:val="Hyperlink"/>
            <w:rFonts w:ascii="Times New Roman" w:hAnsi="Times New Roman"/>
            <w:b w:val="false"/>
            <w:i w:val="false"/>
            <w:color w:val="000000"/>
            <w:sz w:val="24"/>
            <w:u w:val="single"/>
          </w:rPr>
          <w:t>81.13(1)</w:t>
        </w:r>
      </w:hyperlink>
      <w:r>
        <w:rPr>
          <w:rFonts w:ascii="Times New Roman" w:hAnsi="Times New Roman"/>
          <w:b w:val="false"/>
          <w:i w:val="false"/>
          <w:color w:val="000000"/>
          <w:sz w:val="24"/>
        </w:rPr>
        <w:t xml:space="preserv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Requirements for approval of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Before the department of inspections, appeals, and licensing approves a nurse aide training and competency evaluation program or competency evaluation program, the department of inspections, appeals, and licensing will determine whether: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nurse aide training and competency evaluation program meets the course requirements of </w:t>
      </w:r>
      <w:hyperlink r:id="rId9">
        <w:r>
          <w:rPr>
            <w:rStyle w:val="Hyperlink"/>
            <w:rFonts w:ascii="Times New Roman" w:hAnsi="Times New Roman"/>
            <w:b w:val="false"/>
            <w:i w:val="false"/>
            <w:strike/>
            <w:color w:val="000000"/>
            <w:sz w:val="24"/>
          </w:rPr>
          <w:t>81.14(3)</w:t>
        </w:r>
      </w:hyperlink>
      <w:r>
        <w:rPr>
          <w:rFonts w:ascii="Times New Roman" w:hAnsi="Times New Roman"/>
          <w:b w:val="false"/>
          <w:i w:val="false"/>
          <w:color w:val="000000"/>
          <w:sz w:val="24"/>
          <w:u w:val="single"/>
        </w:rPr>
        <w:t> </w:t>
      </w:r>
      <w:hyperlink r:id="rId10">
        <w:r>
          <w:rPr>
            <w:rStyle w:val="Hyperlink"/>
            <w:rFonts w:ascii="Times New Roman" w:hAnsi="Times New Roman"/>
            <w:b w:val="false"/>
            <w:i w:val="false"/>
            <w:color w:val="000000"/>
            <w:sz w:val="24"/>
            <w:u w:val="single"/>
          </w:rPr>
          <w:t>subrule 81.13(3)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nurse aide competency evaluation program meets the requirements of </w:t>
      </w:r>
      <w:hyperlink r:id="rId11">
        <w:r>
          <w:rPr>
            <w:rStyle w:val="Hyperlink"/>
            <w:rFonts w:ascii="Times New Roman" w:hAnsi="Times New Roman"/>
            <w:b w:val="false"/>
            <w:i w:val="false"/>
            <w:strike/>
            <w:color w:val="000000"/>
            <w:sz w:val="24"/>
          </w:rPr>
          <w:t>81.14(4)</w:t>
        </w:r>
      </w:hyperlink>
      <w:r>
        <w:rPr>
          <w:rFonts w:ascii="Times New Roman" w:hAnsi="Times New Roman"/>
          <w:b w:val="false"/>
          <w:i w:val="false"/>
          <w:color w:val="000000"/>
          <w:sz w:val="24"/>
          <w:u w:val="single"/>
        </w:rPr>
        <w:t> </w:t>
      </w:r>
      <w:hyperlink r:id="rId12">
        <w:r>
          <w:rPr>
            <w:rStyle w:val="Hyperlink"/>
            <w:rFonts w:ascii="Times New Roman" w:hAnsi="Times New Roman"/>
            <w:b w:val="false"/>
            <w:i w:val="false"/>
            <w:color w:val="000000"/>
            <w:sz w:val="24"/>
            <w:u w:val="single"/>
          </w:rPr>
          <w:t>subrule 81.13(4)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by paragraph </w:t>
      </w:r>
      <w:hyperlink r:id="rId13">
        <w:r>
          <w:rPr>
            <w:rStyle w:val="Hyperlink"/>
            <w:rFonts w:ascii="Times New Roman" w:hAnsi="Times New Roman"/>
            <w:b w:val="false"/>
            <w:i w:val="false"/>
            <w:strike/>
            <w:color w:val="000000"/>
            <w:sz w:val="24"/>
          </w:rPr>
          <w:t>81.14(2)</w:t>
        </w:r>
        <w:r>
          <w:rPr>
            <w:rFonts w:ascii="Times New Roman" w:hAnsi="Times New Roman"/>
            <w:b w:val="false"/>
            <w:i/>
            <w:strike/>
            <w:color w:val="000000"/>
            <w:sz w:val="24"/>
          </w:rPr>
          <w:t>“f,”</w:t>
        </w:r>
      </w:hyperlink>
      <w:r>
        <w:rPr>
          <w:rFonts w:ascii="Times New Roman" w:hAnsi="Times New Roman"/>
          <w:b w:val="false"/>
          <w:i w:val="false"/>
          <w:color w:val="000000"/>
          <w:sz w:val="24"/>
          <w:u w:val="single"/>
        </w:rPr>
        <w:t> </w:t>
      </w:r>
      <w:hyperlink r:id="rId14">
        <w:r>
          <w:rPr>
            <w:rStyle w:val="Hyperlink"/>
            <w:rFonts w:ascii="Times New Roman" w:hAnsi="Times New Roman"/>
            <w:b w:val="false"/>
            <w:i w:val="false"/>
            <w:color w:val="000000"/>
            <w:sz w:val="24"/>
            <w:u w:val="single"/>
          </w:rPr>
          <w:t>81.13(2)</w:t>
        </w:r>
      </w:hyperlink>
      <w:r>
        <w:rPr>
          <w:rFonts w:ascii="Times New Roman" w:hAnsi="Times New Roman"/>
          <w:b w:val="false"/>
          <w:i/>
          <w:color w:val="000000"/>
          <w:sz w:val="24"/>
          <w:u w:val="single"/>
        </w:rPr>
        <w:t>“f,”</w:t>
      </w:r>
      <w:r>
        <w:rPr>
          <w:rFonts w:ascii="Times New Roman" w:hAnsi="Times New Roman"/>
          <w:b w:val="false"/>
          <w:i w:val="false"/>
          <w:color w:val="000000"/>
          <w:sz w:val="24"/>
        </w:rPr>
        <w:t xml:space="preserve"> the department of inspections, appeals, and licensing will not approve a nurse aide training and competency evaluation program or competency evaluation program offered by or in a facility that, in the previous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An exception to subparagraph </w:t>
      </w:r>
      <w:hyperlink r:id="rId15">
        <w:r>
          <w:rPr>
            <w:rStyle w:val="Hyperlink"/>
            <w:rFonts w:ascii="Times New Roman" w:hAnsi="Times New Roman"/>
            <w:b w:val="false"/>
            <w:i w:val="false"/>
            <w:strike/>
            <w:color w:val="000000"/>
            <w:sz w:val="24"/>
          </w:rPr>
          <w:t>81.14(2)</w:t>
        </w:r>
        <w:r>
          <w:rPr>
            <w:rFonts w:ascii="Times New Roman" w:hAnsi="Times New Roman"/>
            <w:b w:val="false"/>
            <w:i/>
            <w:strike/>
            <w:color w:val="000000"/>
            <w:sz w:val="24"/>
          </w:rPr>
          <w:t>“b”</w:t>
        </w:r>
        <w:r>
          <w:rPr>
            <w:rFonts w:ascii="Times New Roman" w:hAnsi="Times New Roman"/>
            <w:b w:val="false"/>
            <w:i w:val="false"/>
            <w:strike/>
            <w:color w:val="000000"/>
            <w:sz w:val="24"/>
          </w:rPr>
          <w:t>(2)</w:t>
        </w:r>
      </w:hyperlink>
      <w:r>
        <w:rPr>
          <w:rFonts w:ascii="Times New Roman" w:hAnsi="Times New Roman"/>
          <w:b w:val="false"/>
          <w:i w:val="false"/>
          <w:color w:val="000000"/>
          <w:sz w:val="24"/>
          <w:u w:val="single"/>
        </w:rPr>
        <w:t> </w:t>
      </w:r>
      <w:hyperlink r:id="rId16">
        <w:r>
          <w:rPr>
            <w:rStyle w:val="Hyperlink"/>
            <w:rFonts w:ascii="Times New Roman" w:hAnsi="Times New Roman"/>
            <w:b w:val="false"/>
            <w:i w:val="false"/>
            <w:color w:val="000000"/>
            <w:sz w:val="24"/>
            <w:u w:val="single"/>
          </w:rPr>
          <w:t>81.13(2)</w:t>
        </w:r>
      </w:hyperlink>
      <w:r>
        <w:rPr>
          <w:rFonts w:ascii="Times New Roman" w:hAnsi="Times New Roman"/>
          <w:b w:val="false"/>
          <w:i/>
          <w:color w:val="000000"/>
          <w:sz w:val="24"/>
          <w:u w:val="single"/>
        </w:rPr>
        <w:t>“b”</w:t>
      </w:r>
      <w:r>
        <w:rPr>
          <w:rFonts w:ascii="Times New Roman" w:hAnsi="Times New Roman"/>
          <w:b w:val="false"/>
          <w:i w:val="false"/>
          <w:color w:val="000000"/>
          <w:sz w:val="24"/>
          <w:u w:val="single"/>
        </w:rPr>
        <w:t>(2)</w:t>
      </w:r>
      <w:r>
        <w:rPr>
          <w:rFonts w:ascii="Times New Roman" w:hAnsi="Times New Roman"/>
          <w:b w:val="false"/>
          <w:i w:val="false"/>
          <w:color w:val="000000"/>
          <w:sz w:val="24"/>
        </w:rPr>
        <w:t xml:space="preserve"> may be granted by the department of inspections, appeals, and licensing for 75-hour nurse aide training courses offered in (but not by) a facility under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441—81.18(249A)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441—81.18</w:t>
      </w:r>
      <w:r>
        <w:rPr>
          <w:rFonts w:ascii="Times New Roman" w:hAnsi="Times New Roman"/>
          <w:b/>
          <w:i w:val="false"/>
          <w:color w:val="000000"/>
          <w:sz w:val="24"/>
        </w:rPr>
        <w:t xml:space="preserve">(249A) </w:t>
      </w:r>
      <w:r>
        <w:rPr>
          <w:rFonts w:ascii="Times New Roman" w:hAnsi="Times New Roman"/>
          <w:b/>
          <w:i w:val="false"/>
          <w:color w:val="000000"/>
          <w:sz w:val="24"/>
        </w:rPr>
        <w:t xml:space="preserve">State-funded personal needs supplement. </w:t>
      </w:r>
      <w:r>
        <w:rPr>
          <w:rFonts w:ascii="Times New Roman" w:hAnsi="Times New Roman"/>
          <w:b w:val="false"/>
          <w:i w:val="false"/>
          <w:color w:val="000000"/>
          <w:sz w:val="24"/>
        </w:rPr>
        <w:t xml:space="preserve">A Medicaid member living in a nursing facility who has countable income for purposes of rule </w:t>
      </w:r>
      <w:hyperlink r:id="rId17">
        <w:r>
          <w:rPr>
            <w:rStyle w:val="Hyperlink"/>
            <w:rFonts w:ascii="Times New Roman" w:hAnsi="Times New Roman"/>
            <w:b w:val="false"/>
            <w:i w:val="false"/>
            <w:color w:val="000000"/>
            <w:sz w:val="24"/>
          </w:rPr>
          <w:t>441—75.16(249A)</w:t>
        </w:r>
      </w:hyperlink>
      <w:r>
        <w:rPr>
          <w:rFonts w:ascii="Times New Roman" w:hAnsi="Times New Roman"/>
          <w:b w:val="false"/>
          <w:i w:val="false"/>
          <w:color w:val="000000"/>
          <w:sz w:val="24"/>
        </w:rPr>
        <w:t xml:space="preserve"> of less than </w:t>
      </w:r>
      <w:r>
        <w:rPr>
          <w:rFonts w:ascii="Times New Roman" w:hAnsi="Times New Roman"/>
          <w:b w:val="false"/>
          <w:i w:val="false"/>
          <w:strike/>
          <w:color w:val="000000"/>
          <w:sz w:val="24"/>
        </w:rPr>
        <w:t>$50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$55</w:t>
      </w:r>
      <w:r>
        <w:rPr>
          <w:rFonts w:ascii="Times New Roman" w:hAnsi="Times New Roman"/>
          <w:b w:val="false"/>
          <w:i w:val="false"/>
          <w:color w:val="000000"/>
          <w:sz w:val="24"/>
        </w:rPr>
        <w:t xml:space="preserve"> per month shall receive a state-funded payment from the department for the difference between that countable income and </w:t>
      </w:r>
      <w:r>
        <w:rPr>
          <w:rFonts w:ascii="Times New Roman" w:hAnsi="Times New Roman"/>
          <w:b w:val="false"/>
          <w:i w:val="false"/>
          <w:strike/>
          <w:color w:val="000000"/>
          <w:sz w:val="24"/>
        </w:rPr>
        <w:t>$50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$55</w:t>
      </w:r>
      <w:r>
        <w:rPr>
          <w:rFonts w:ascii="Times New Roman" w:hAnsi="Times New Roman"/>
          <w:b w:val="false"/>
          <w:i w:val="false"/>
          <w:color w:val="000000"/>
          <w:sz w:val="24"/>
        </w:rPr>
        <w:t xml:space="preserve"> if the legislature has appropriated funding specifically for this purpose. This payment shall not be considered a benefit under </w:t>
      </w:r>
      <w:r>
        <w:rPr>
          <w:rFonts w:ascii="Times New Roman" w:hAnsi="Times New Roman"/>
          <w:b w:val="false"/>
          <w:i w:val="false"/>
          <w:color w:val="000000"/>
          <w:sz w:val="24"/>
        </w:rPr>
        <w:t>Title XIX of the Social Security Act</w:t>
      </w:r>
      <w:r>
        <w:rPr>
          <w:rFonts w:ascii="Times New Roman" w:hAnsi="Times New Roman"/>
          <w:b w:val="false"/>
          <w:i w:val="false"/>
          <w:color w:val="000000"/>
          <w:sz w:val="24"/>
        </w:rPr>
        <w:t xml:space="preserve"> (as amended to August 1, 2024).</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
        <w:r>
          <w:rPr>
            <w:rStyle w:val="Hyperlink"/>
            <w:rFonts w:ascii="Times New Roman" w:hAnsi="Times New Roman"/>
            <w:b w:val="false"/>
            <w:i w:val="false"/>
            <w:color w:val="000000"/>
            <w:sz w:val="24"/>
          </w:rPr>
          <w:t>249A.30A</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441—82.16(249A)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441—82.16</w:t>
      </w:r>
      <w:r>
        <w:rPr>
          <w:rFonts w:ascii="Times New Roman" w:hAnsi="Times New Roman"/>
          <w:b/>
          <w:i w:val="false"/>
          <w:color w:val="000000"/>
          <w:sz w:val="24"/>
        </w:rPr>
        <w:t xml:space="preserve">(249A) </w:t>
      </w:r>
      <w:r>
        <w:rPr>
          <w:rFonts w:ascii="Times New Roman" w:hAnsi="Times New Roman"/>
          <w:b/>
          <w:i w:val="false"/>
          <w:color w:val="000000"/>
          <w:sz w:val="24"/>
        </w:rPr>
        <w:t xml:space="preserve">State-funded personal needs supplement. </w:t>
      </w:r>
      <w:r>
        <w:rPr>
          <w:rFonts w:ascii="Times New Roman" w:hAnsi="Times New Roman"/>
          <w:b w:val="false"/>
          <w:i w:val="false"/>
          <w:color w:val="000000"/>
          <w:sz w:val="24"/>
        </w:rPr>
        <w:t xml:space="preserve">A Medicaid member living in an intermediate care facility for persons with an intellectual disability who has countable income for purposes of rule </w:t>
      </w:r>
      <w:hyperlink r:id="rId19">
        <w:r>
          <w:rPr>
            <w:rStyle w:val="Hyperlink"/>
            <w:rFonts w:ascii="Times New Roman" w:hAnsi="Times New Roman"/>
            <w:b w:val="false"/>
            <w:i w:val="false"/>
            <w:color w:val="000000"/>
            <w:sz w:val="24"/>
          </w:rPr>
          <w:t>441—75.16</w:t>
        </w:r>
      </w:hyperlink>
      <w:r>
        <w:rPr>
          <w:rFonts w:ascii="Times New Roman" w:hAnsi="Times New Roman"/>
          <w:b w:val="false"/>
          <w:i w:val="false"/>
          <w:color w:val="000000"/>
          <w:sz w:val="24"/>
        </w:rPr>
        <w:t xml:space="preserve">(249A) of less than </w:t>
      </w:r>
      <w:r>
        <w:rPr>
          <w:rFonts w:ascii="Times New Roman" w:hAnsi="Times New Roman"/>
          <w:b w:val="false"/>
          <w:i w:val="false"/>
          <w:strike/>
          <w:color w:val="000000"/>
          <w:sz w:val="24"/>
        </w:rPr>
        <w:t>$50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$55</w:t>
      </w:r>
      <w:r>
        <w:rPr>
          <w:rFonts w:ascii="Times New Roman" w:hAnsi="Times New Roman"/>
          <w:b w:val="false"/>
          <w:i w:val="false"/>
          <w:color w:val="000000"/>
          <w:sz w:val="24"/>
        </w:rPr>
        <w:t xml:space="preserve"> per month will receive a state-funded payment from the department for the difference between that countable income and </w:t>
      </w:r>
      <w:r>
        <w:rPr>
          <w:rFonts w:ascii="Times New Roman" w:hAnsi="Times New Roman"/>
          <w:b w:val="false"/>
          <w:i w:val="false"/>
          <w:strike/>
          <w:color w:val="000000"/>
          <w:sz w:val="24"/>
        </w:rPr>
        <w:t>$50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$55</w:t>
      </w:r>
      <w:r>
        <w:rPr>
          <w:rFonts w:ascii="Times New Roman" w:hAnsi="Times New Roman"/>
          <w:b w:val="false"/>
          <w:i w:val="false"/>
          <w:color w:val="000000"/>
          <w:sz w:val="24"/>
        </w:rPr>
        <w:t xml:space="preserve"> if the legislature has appropriated funding specifically for this purpose. This payment shall not be considered a benefit under </w:t>
      </w:r>
      <w:r>
        <w:rPr>
          <w:rFonts w:ascii="Times New Roman" w:hAnsi="Times New Roman"/>
          <w:b w:val="false"/>
          <w:i w:val="false"/>
          <w:color w:val="000000"/>
          <w:sz w:val="24"/>
        </w:rPr>
        <w:t>Title XIX of the Social Security Act</w:t>
      </w:r>
      <w:r>
        <w:rPr>
          <w:rFonts w:ascii="Times New Roman" w:hAnsi="Times New Roman"/>
          <w:b w:val="false"/>
          <w:i w:val="false"/>
          <w:color w:val="000000"/>
          <w:sz w:val="24"/>
        </w:rPr>
        <w:t xml:space="preserve"> (as amended to August 1, 2024).</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249A.30A</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441—85.20(249A)</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441—85.20</w:t>
      </w:r>
      <w:r>
        <w:rPr>
          <w:rFonts w:ascii="Times New Roman" w:hAnsi="Times New Roman"/>
          <w:b/>
          <w:i w:val="false"/>
          <w:color w:val="000000"/>
          <w:sz w:val="24"/>
        </w:rPr>
        <w:t xml:space="preserve">(249A) </w:t>
      </w:r>
      <w:r>
        <w:rPr>
          <w:rFonts w:ascii="Times New Roman" w:hAnsi="Times New Roman"/>
          <w:b/>
          <w:i w:val="false"/>
          <w:color w:val="000000"/>
          <w:sz w:val="24"/>
        </w:rPr>
        <w:t xml:space="preserve">State-funded personal needs supplement. </w:t>
      </w:r>
      <w:r>
        <w:rPr>
          <w:rFonts w:ascii="Times New Roman" w:hAnsi="Times New Roman"/>
          <w:b w:val="false"/>
          <w:i w:val="false"/>
          <w:color w:val="000000"/>
          <w:sz w:val="24"/>
        </w:rPr>
        <w:t xml:space="preserve">A Medicaid member living in an intermediate care facility for persons with mental illness who has countable income for purposes of rule </w:t>
      </w:r>
      <w:hyperlink r:id="rId21">
        <w:r>
          <w:rPr>
            <w:rStyle w:val="Hyperlink"/>
            <w:rFonts w:ascii="Times New Roman" w:hAnsi="Times New Roman"/>
            <w:b w:val="false"/>
            <w:i w:val="false"/>
            <w:color w:val="000000"/>
            <w:sz w:val="24"/>
          </w:rPr>
          <w:t>441—75.16</w:t>
        </w:r>
      </w:hyperlink>
      <w:r>
        <w:rPr>
          <w:rFonts w:ascii="Times New Roman" w:hAnsi="Times New Roman"/>
          <w:b w:val="false"/>
          <w:i w:val="false"/>
          <w:color w:val="000000"/>
          <w:sz w:val="24"/>
        </w:rPr>
        <w:t xml:space="preserve">(249A) of less than </w:t>
      </w:r>
      <w:r>
        <w:rPr>
          <w:rFonts w:ascii="Times New Roman" w:hAnsi="Times New Roman"/>
          <w:b w:val="false"/>
          <w:i w:val="false"/>
          <w:strike/>
          <w:color w:val="000000"/>
          <w:sz w:val="24"/>
        </w:rPr>
        <w:t>$50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$55</w:t>
      </w:r>
      <w:r>
        <w:rPr>
          <w:rFonts w:ascii="Times New Roman" w:hAnsi="Times New Roman"/>
          <w:b w:val="false"/>
          <w:i w:val="false"/>
          <w:color w:val="000000"/>
          <w:sz w:val="24"/>
        </w:rPr>
        <w:t xml:space="preserve"> per month will receive a state-funded payment from the department for the difference between that countable income and </w:t>
      </w:r>
      <w:r>
        <w:rPr>
          <w:rFonts w:ascii="Times New Roman" w:hAnsi="Times New Roman"/>
          <w:b w:val="false"/>
          <w:i w:val="false"/>
          <w:strike/>
          <w:color w:val="000000"/>
          <w:sz w:val="24"/>
        </w:rPr>
        <w:t>$50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$55</w:t>
      </w:r>
      <w:r>
        <w:rPr>
          <w:rFonts w:ascii="Times New Roman" w:hAnsi="Times New Roman"/>
          <w:b w:val="false"/>
          <w:i w:val="false"/>
          <w:color w:val="000000"/>
          <w:sz w:val="24"/>
        </w:rPr>
        <w:t xml:space="preserve"> if the legislature has appropriated funding specifically for this purpose. This payment shall not be considered a benefit under </w:t>
      </w:r>
      <w:r>
        <w:rPr>
          <w:rFonts w:ascii="Times New Roman" w:hAnsi="Times New Roman"/>
          <w:b w:val="false"/>
          <w:i w:val="false"/>
          <w:color w:val="000000"/>
          <w:sz w:val="24"/>
        </w:rPr>
        <w:t>Title XIX of the Social Security Act</w:t>
      </w:r>
      <w:r>
        <w:rPr>
          <w:rFonts w:ascii="Times New Roman" w:hAnsi="Times New Roman"/>
          <w:b w:val="false"/>
          <w:i w:val="false"/>
          <w:color w:val="000000"/>
          <w:sz w:val="24"/>
        </w:rPr>
        <w:t xml:space="preserve"> (as amended to August 1, 2024).</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2">
        <w:r>
          <w:rPr>
            <w:rStyle w:val="Hyperlink"/>
            <w:rFonts w:ascii="Times New Roman" w:hAnsi="Times New Roman"/>
            <w:b w:val="false"/>
            <w:i w:val="false"/>
            <w:color w:val="000000"/>
            <w:sz w:val="24"/>
          </w:rPr>
          <w:t>249A.30A</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center"/>
      </w:pPr>
      <w:r>
        <w:rPr>
          <w:rFonts w:ascii="Times New Roman" w:hAnsi="Times New Roman"/>
          <w:b w:val="false"/>
          <w:i w:val="false"/>
          <w:color w:val="000000"/>
          <w:sz w:val="24"/>
        </w:rPr>
        <w:t>[Filed 12/3/25, effective 2/1/26]</w:t>
      </w:r>
    </w:p>
    <w:p>
      <w:pPr>
        <w:spacing w:before="0" w:after="0" w:line="480"/>
        <w:ind w:left="120"/>
        <w:jc w:val="center"/>
      </w:pPr>
      <w:r>
        <w:rPr>
          <w:rFonts w:ascii="Times New Roman" w:hAnsi="Times New Roman"/>
          <w:b w:val="false"/>
          <w:i w:val="false"/>
          <w:color w:val="000000"/>
          <w:sz w:val="24"/>
        </w:rPr>
        <w:t>[Published 12/24/25]</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12/24/25.</w:t>
      </w:r>
    </w:p>
    <w:p>
      <w:pPr>
        <w:spacing w:before="0" w:after="0" w:line="480"/>
        <w:ind w:left="120"/>
        <w:jc w:val="left"/>
      </w:pPr>
      <w:bookmarkStart w:name="lastARC" w:id="2"/>
      <w:bookmarkEnd w:id="2"/>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441.81.11.pdf" Type="http://schemas.openxmlformats.org/officeDocument/2006/relationships/hyperlink" Id="rId5"/>
    <Relationship TargetMode="External" Target="https://www.legis.iowa.gov/docs/iac/rule/441.81.11.pdf" Type="http://schemas.openxmlformats.org/officeDocument/2006/relationships/hyperlink" Id="rId6"/>
    <Relationship TargetMode="External" Target="https://www.legis.iowa.gov/docs/iac/rule/441.81.14.pdf" Type="http://schemas.openxmlformats.org/officeDocument/2006/relationships/hyperlink" Id="rId7"/>
    <Relationship TargetMode="External" Target="https://www.legis.iowa.gov/docs/iac/rule/441.81.13.pdf" Type="http://schemas.openxmlformats.org/officeDocument/2006/relationships/hyperlink" Id="rId8"/>
    <Relationship TargetMode="External" Target="https://www.legis.iowa.gov/docs/iac/rule/441.81.14.pdf" Type="http://schemas.openxmlformats.org/officeDocument/2006/relationships/hyperlink" Id="rId9"/>
    <Relationship TargetMode="External" Target="https://www.legis.iowa.gov/docs/iac/rule/441.81.13.pdf" Type="http://schemas.openxmlformats.org/officeDocument/2006/relationships/hyperlink" Id="rId10"/>
    <Relationship TargetMode="External" Target="https://www.legis.iowa.gov/docs/iac/rule/441.81.14.pdf" Type="http://schemas.openxmlformats.org/officeDocument/2006/relationships/hyperlink" Id="rId11"/>
    <Relationship TargetMode="External" Target="https://www.legis.iowa.gov/docs/iac/rule/441.81.13.pdf" Type="http://schemas.openxmlformats.org/officeDocument/2006/relationships/hyperlink" Id="rId12"/>
    <Relationship TargetMode="External" Target="https://www.legis.iowa.gov/docs/iac/rule/441.81.14.pdf" Type="http://schemas.openxmlformats.org/officeDocument/2006/relationships/hyperlink" Id="rId13"/>
    <Relationship TargetMode="External" Target="https://www.legis.iowa.gov/docs/iac/rule/441.81.13.pdf" Type="http://schemas.openxmlformats.org/officeDocument/2006/relationships/hyperlink" Id="rId14"/>
    <Relationship TargetMode="External" Target="https://www.legis.iowa.gov/docs/iac/rule/441.81.14.pdf" Type="http://schemas.openxmlformats.org/officeDocument/2006/relationships/hyperlink" Id="rId15"/>
    <Relationship TargetMode="External" Target="https://www.legis.iowa.gov/docs/iac/rule/441.81.13.pdf" Type="http://schemas.openxmlformats.org/officeDocument/2006/relationships/hyperlink" Id="rId16"/>
    <Relationship TargetMode="External" Target="https://www.legis.iowa.gov/docs/iac/rule/441.75.16.pdf" Type="http://schemas.openxmlformats.org/officeDocument/2006/relationships/hyperlink" Id="rId17"/>
    <Relationship TargetMode="External" Target="https://www.legis.iowa.gov/docs/ico/chapter/249A.30A.pdf" Type="http://schemas.openxmlformats.org/officeDocument/2006/relationships/hyperlink" Id="rId18"/>
    <Relationship TargetMode="External" Target="https://www.legis.iowa.gov/docs/iac/rule/441.75.16.pdf" Type="http://schemas.openxmlformats.org/officeDocument/2006/relationships/hyperlink" Id="rId19"/>
    <Relationship TargetMode="External" Target="https://www.legis.iowa.gov/docs/ico/chapter/249A.30A.pdf" Type="http://schemas.openxmlformats.org/officeDocument/2006/relationships/hyperlink" Id="rId20"/>
    <Relationship TargetMode="External" Target="https://www.legis.iowa.gov/docs/iac/rule/441.75.16.pdf" Type="http://schemas.openxmlformats.org/officeDocument/2006/relationships/hyperlink" Id="rId21"/>
    <Relationship TargetMode="External" Target="https://www.legis.iowa.gov/docs/ico/chapter/249A.30A.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