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8C" w:id="1"/>
    <w:p>
      <w:pPr>
        <w:spacing w:before="0" w:after="0" w:line="480"/>
        <w:ind w:left="120"/>
        <w:jc w:val="right"/>
      </w:pPr>
      <w:r>
        <w:rPr>
          <w:rFonts w:ascii="Times New Roman" w:hAnsi="Times New Roman"/>
          <w:b/>
          <w:i w:val="false"/>
          <w:color w:val="000000"/>
          <w:sz w:val="28"/>
        </w:rPr>
        <w:t>ARC 9858C</w:t>
      </w:r>
    </w:p>
    <w:bookmarkEnd w:id="1"/>
    <w:p>
      <w:pPr>
        <w:pBdr>
          <w:top w:space="5"/>
        </w:pBdr>
        <w:spacing w:before="0" w:after="0" w:line="480"/>
        <w:ind w:left="120"/>
        <w:jc w:val="center"/>
      </w:pPr>
      <w:r>
        <w:rPr>
          <w:rFonts w:ascii="Times New Roman" w:hAnsi="Times New Roman"/>
          <w:b/>
          <w:i w:val="false"/>
          <w:color w:val="000000"/>
          <w:sz w:val="28"/>
        </w:rPr>
        <w:t>ECONOMIC DEVELOPMENT AUTHORITY[261]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the business incentives for growth (BIG) program</w:t>
      </w:r>
    </w:p>
    <w:p>
      <w:pPr>
        <w:pBdr>
          <w:top w:space="5"/>
        </w:pBdr>
        <w:spacing w:before="0" w:after="0" w:line="480"/>
        <w:ind w:left="120"/>
        <w:jc w:val="both"/>
      </w:pPr>
      <w:r>
        <w:rPr>
          <w:rFonts w:ascii="Times New Roman" w:hAnsi="Times New Roman"/>
          <w:b w:val="false"/>
          <w:i w:val="false"/>
          <w:color w:val="000000"/>
          <w:sz w:val="24"/>
        </w:rPr>
        <w:t>    The Economic Development Authority hereby adopts new Chapter 69, “Business Incentives for Growth (BIG)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15.106A and 2025 Iowa Acts, Senate File 657.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Senate File 657.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has adopted a new Chapter 69 to implement Iowa Code chapter 15, subchapter II, part 33, as enacted by 2025 Iowa Acts, Senate File 657. Chapter 69 describes the policies and procedures applicable to the BIG program. The program will provide incentives to businesses to locate, expand, or modernize an Iowa facility. The program will replace the High Quality Jobs program.</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pBdr>
          <w:top w:space="5"/>
        </w:pBd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October 15, 2025, as </w:t>
      </w:r>
      <w:r>
        <w:rPr>
          <w:rFonts w:ascii="Times New Roman" w:hAnsi="Times New Roman"/>
          <w:b/>
          <w:i w:val="false"/>
          <w:color w:val="000000"/>
          <w:sz w:val="24"/>
        </w:rPr>
        <w:t>ARC 9608C</w:t>
      </w:r>
      <w:r>
        <w:rPr>
          <w:rFonts w:ascii="Times New Roman" w:hAnsi="Times New Roman"/>
          <w:b w:val="false"/>
          <w:i w:val="false"/>
          <w:color w:val="000000"/>
          <w:sz w:val="24"/>
        </w:rPr>
        <w:t>. No public comments were received.</w:t>
      </w:r>
    </w:p>
    <w:p>
      <w:pPr>
        <w:spacing w:before="0" w:after="0" w:line="480"/>
        <w:ind w:left="120"/>
        <w:jc w:val="both"/>
      </w:pPr>
      <w:r>
        <w:rPr>
          <w:rFonts w:ascii="Times New Roman" w:hAnsi="Times New Roman"/>
          <w:b w:val="false"/>
          <w:i w:val="false"/>
          <w:color w:val="000000"/>
          <w:sz w:val="24"/>
        </w:rPr>
        <w:t>    Changes from the Notice have been made to clarify requirements regarding water conservation and waste reduction plans as well as inclusion of rent payments as investment.  </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Authority Board on November 21,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beyond that of the legislation it is intended to implement.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xml:space="preserve">    Some incentives provided through the program will be based on job retention and creation. </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Authority for a waiver of the discretionary provisions, if any, pursuant to 261—Chapter 199.</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January 28,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261—Chapter 69</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69</w:t>
      </w:r>
    </w:p>
    <w:p>
      <w:pPr>
        <w:spacing w:before="0" w:after="0" w:line="480"/>
        <w:ind w:left="120"/>
        <w:jc w:val="center"/>
      </w:pPr>
      <w:r>
        <w:rPr>
          <w:rFonts w:ascii="Times New Roman" w:hAnsi="Times New Roman"/>
          <w:b w:val="false"/>
          <w:i w:val="false"/>
          <w:color w:val="000000"/>
          <w:sz w:val="21"/>
        </w:rPr>
        <w:t>BUSINESS INCENTIVES FOR GROWTH (BIG) PROGRAM</w:t>
      </w:r>
    </w:p>
    <w:p>
      <w:pPr>
        <w:spacing w:before="0" w:after="0" w:line="480"/>
        <w:ind w:left="120"/>
        <w:jc w:val="both"/>
      </w:pPr>
      <w:r>
        <w:rPr>
          <w:rFonts w:ascii="Times New Roman" w:hAnsi="Times New Roman"/>
          <w:b/>
          <w:i w:val="false"/>
          <w:color w:val="000000"/>
          <w:sz w:val="24"/>
        </w:rPr>
        <w:t>261—69.1</w:t>
      </w:r>
      <w:r>
        <w:rPr>
          <w:rFonts w:ascii="Times New Roman" w:hAnsi="Times New Roman"/>
          <w:b/>
          <w:i w:val="false"/>
          <w:color w:val="000000"/>
          <w:sz w:val="24"/>
        </w:rPr>
        <w:t xml:space="preserve">(15)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purposes of this chapter,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 xml:space="preserve">means an agreement entered into pursuant to Iowa Code section </w:t>
      </w:r>
      <w:hyperlink r:id="rId5">
        <w:r>
          <w:rPr>
            <w:rStyle w:val="Hyperlink"/>
            <w:rFonts w:ascii="Times New Roman" w:hAnsi="Times New Roman"/>
            <w:b w:val="false"/>
            <w:i w:val="false"/>
            <w:color w:val="000000"/>
            <w:sz w:val="24"/>
          </w:rPr>
          <w:t>15.506</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“Authority” </w:t>
      </w:r>
      <w:r>
        <w:rPr>
          <w:rFonts w:ascii="Times New Roman" w:hAnsi="Times New Roman"/>
          <w:b w:val="false"/>
          <w:i w:val="false"/>
          <w:color w:val="000000"/>
          <w:sz w:val="24"/>
        </w:rPr>
        <w:t xml:space="preserve">means the economic development authority created in Iowa Code section </w:t>
      </w:r>
      <w:hyperlink r:id="rId6">
        <w:r>
          <w:rPr>
            <w:rStyle w:val="Hyperlink"/>
            <w:rFonts w:ascii="Times New Roman" w:hAnsi="Times New Roman"/>
            <w:b w:val="false"/>
            <w:i w:val="false"/>
            <w:color w:val="000000"/>
            <w:sz w:val="24"/>
          </w:rPr>
          <w:t>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“Award date” </w:t>
      </w:r>
      <w:r>
        <w:rPr>
          <w:rFonts w:ascii="Times New Roman" w:hAnsi="Times New Roman"/>
          <w:b w:val="false"/>
          <w:i w:val="false"/>
          <w:color w:val="000000"/>
          <w:sz w:val="24"/>
        </w:rPr>
        <w:t>means the date the board approved an application for financial assistance or tax incentives.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“Base employment level”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“Benefits”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means the same as defined in Iowa Code section </w:t>
      </w:r>
      <w:hyperlink r:id="rId9">
        <w:r>
          <w:rPr>
            <w:rStyle w:val="Hyperlink"/>
            <w:rFonts w:ascii="Times New Roman" w:hAnsi="Times New Roman"/>
            <w:b w:val="false"/>
            <w:i w:val="false"/>
            <w:color w:val="000000"/>
            <w:sz w:val="24"/>
          </w:rPr>
          <w:t>15.102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“Business” </w:t>
      </w:r>
      <w:r>
        <w:rPr>
          <w:rFonts w:ascii="Times New Roman" w:hAnsi="Times New Roman"/>
          <w:b w:val="false"/>
          <w:i w:val="false"/>
          <w:color w:val="000000"/>
          <w:sz w:val="24"/>
        </w:rPr>
        <w:t>means a sole proprietorship, partnership, corporation, or other business entity organized for profit under the laws of the state of Iowa or another state, under federal statutes, or under the laws of another country.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“Community” </w:t>
      </w:r>
      <w:r>
        <w:rPr>
          <w:rFonts w:ascii="Times New Roman" w:hAnsi="Times New Roman"/>
          <w:b w:val="false"/>
          <w:i w:val="false"/>
          <w:color w:val="000000"/>
          <w:sz w:val="24"/>
        </w:rPr>
        <w:t xml:space="preserve">means the same as defined in Iowa Code section </w:t>
      </w:r>
      <w:hyperlink r:id="rId10">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“Contract end date” </w:t>
      </w:r>
      <w:r>
        <w:rPr>
          <w:rFonts w:ascii="Times New Roman" w:hAnsi="Times New Roman"/>
          <w:b w:val="false"/>
          <w:i w:val="false"/>
          <w:color w:val="000000"/>
          <w:sz w:val="24"/>
        </w:rPr>
        <w:t>means the date on which an agreement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“Created job” </w:t>
      </w:r>
      <w:r>
        <w:rPr>
          <w:rFonts w:ascii="Times New Roman" w:hAnsi="Times New Roman"/>
          <w:b w:val="false"/>
          <w:i w:val="false"/>
          <w:color w:val="000000"/>
          <w:sz w:val="24"/>
        </w:rPr>
        <w:t xml:space="preserve">means the same as defined in Iowa Code section </w:t>
      </w:r>
      <w:hyperlink r:id="rId11">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“Data center business” </w:t>
      </w:r>
      <w:r>
        <w:rPr>
          <w:rFonts w:ascii="Times New Roman" w:hAnsi="Times New Roman"/>
          <w:b w:val="false"/>
          <w:i w:val="false"/>
          <w:color w:val="000000"/>
          <w:sz w:val="24"/>
        </w:rPr>
        <w:t xml:space="preserve">means the same as defined in Iowa Code section </w:t>
      </w:r>
      <w:hyperlink r:id="rId12">
        <w:r>
          <w:rPr>
            <w:rStyle w:val="Hyperlink"/>
            <w:rFonts w:ascii="Times New Roman" w:hAnsi="Times New Roman"/>
            <w:b w:val="false"/>
            <w:i w:val="false"/>
            <w:color w:val="000000"/>
            <w:sz w:val="24"/>
          </w:rPr>
          <w:t>423.3(95)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business” </w:t>
      </w:r>
      <w:r>
        <w:rPr>
          <w:rFonts w:ascii="Times New Roman" w:hAnsi="Times New Roman"/>
          <w:b w:val="false"/>
          <w:i w:val="false"/>
          <w:color w:val="000000"/>
          <w:sz w:val="24"/>
        </w:rPr>
        <w:t xml:space="preserve">means a business that meets the requirements of Iowa Code section </w:t>
      </w:r>
      <w:hyperlink r:id="rId13">
        <w:r>
          <w:rPr>
            <w:rStyle w:val="Hyperlink"/>
            <w:rFonts w:ascii="Times New Roman" w:hAnsi="Times New Roman"/>
            <w:b w:val="false"/>
            <w:i w:val="false"/>
            <w:color w:val="000000"/>
            <w:sz w:val="24"/>
          </w:rPr>
          <w:t>15.504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“Financial assistance” </w:t>
      </w:r>
      <w:r>
        <w:rPr>
          <w:rFonts w:ascii="Times New Roman" w:hAnsi="Times New Roman"/>
          <w:b w:val="false"/>
          <w:i w:val="false"/>
          <w:color w:val="000000"/>
          <w:sz w:val="24"/>
        </w:rPr>
        <w:t xml:space="preserve">means the same as defined in Iowa Code section </w:t>
      </w:r>
      <w:hyperlink r:id="rId14">
        <w:r>
          <w:rPr>
            <w:rStyle w:val="Hyperlink"/>
            <w:rFonts w:ascii="Times New Roman" w:hAnsi="Times New Roman"/>
            <w:b w:val="false"/>
            <w:i w:val="false"/>
            <w:color w:val="000000"/>
            <w:sz w:val="24"/>
          </w:rPr>
          <w:t>15.511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“Full-time equivalent position” </w:t>
      </w:r>
      <w:r>
        <w:rPr>
          <w:rFonts w:ascii="Times New Roman" w:hAnsi="Times New Roman"/>
          <w:b w:val="false"/>
          <w:i w:val="false"/>
          <w:color w:val="000000"/>
          <w:sz w:val="24"/>
        </w:rPr>
        <w:t xml:space="preserve">means the same as defined in Iowa Code section </w:t>
      </w:r>
      <w:hyperlink r:id="rId15">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“Laborshed area” </w:t>
      </w:r>
      <w:r>
        <w:rPr>
          <w:rFonts w:ascii="Times New Roman" w:hAnsi="Times New Roman"/>
          <w:b w:val="false"/>
          <w:i w:val="false"/>
          <w:color w:val="000000"/>
          <w:sz w:val="24"/>
        </w:rPr>
        <w:t>means the geographic area surrounding an employment center from which the employment center draws its commuting workers as defined by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“Placed in service” </w:t>
      </w:r>
      <w:r>
        <w:rPr>
          <w:rFonts w:ascii="Times New Roman" w:hAnsi="Times New Roman"/>
          <w:b w:val="false"/>
          <w:i w:val="false"/>
          <w:color w:val="000000"/>
          <w:sz w:val="24"/>
        </w:rPr>
        <w:t>means in a condition or state of readiness and availability for a specifically assigned function.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“Program” </w:t>
      </w:r>
      <w:r>
        <w:rPr>
          <w:rFonts w:ascii="Times New Roman" w:hAnsi="Times New Roman"/>
          <w:b w:val="false"/>
          <w:i w:val="false"/>
          <w:color w:val="000000"/>
          <w:sz w:val="24"/>
        </w:rPr>
        <w:t xml:space="preserve">means the same as defined in Iowa Code section </w:t>
      </w:r>
      <w:hyperlink r:id="rId16">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“Project” </w:t>
      </w:r>
      <w:r>
        <w:rPr>
          <w:rFonts w:ascii="Times New Roman" w:hAnsi="Times New Roman"/>
          <w:b w:val="false"/>
          <w:i w:val="false"/>
          <w:color w:val="000000"/>
          <w:sz w:val="24"/>
        </w:rPr>
        <w:t xml:space="preserve">means the same as defined in Iowa Code section </w:t>
      </w:r>
      <w:hyperlink r:id="rId17">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“Project completion date” </w:t>
      </w:r>
      <w:r>
        <w:rPr>
          <w:rFonts w:ascii="Times New Roman" w:hAnsi="Times New Roman"/>
          <w:b w:val="false"/>
          <w:i w:val="false"/>
          <w:color w:val="000000"/>
          <w:sz w:val="24"/>
        </w:rPr>
        <w:t xml:space="preserve">means the same as defined in Iowa Code section </w:t>
      </w:r>
      <w:hyperlink r:id="rId18">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“Qualifying investment” </w:t>
      </w:r>
      <w:r>
        <w:rPr>
          <w:rFonts w:ascii="Times New Roman" w:hAnsi="Times New Roman"/>
          <w:b w:val="false"/>
          <w:i w:val="false"/>
          <w:color w:val="000000"/>
          <w:sz w:val="24"/>
        </w:rPr>
        <w:t xml:space="preserve">means the same as defined in Iowa Code section </w:t>
      </w:r>
      <w:hyperlink r:id="rId19">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“Qualifying wage threshold” </w:t>
      </w:r>
      <w:r>
        <w:rPr>
          <w:rFonts w:ascii="Times New Roman" w:hAnsi="Times New Roman"/>
          <w:b w:val="false"/>
          <w:i w:val="false"/>
          <w:color w:val="000000"/>
          <w:sz w:val="24"/>
        </w:rPr>
        <w:t xml:space="preserve">means the same as defined in Iowa Code section </w:t>
      </w:r>
      <w:hyperlink r:id="rId20">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“Retained job” </w:t>
      </w:r>
      <w:r>
        <w:rPr>
          <w:rFonts w:ascii="Times New Roman" w:hAnsi="Times New Roman"/>
          <w:b w:val="false"/>
          <w:i w:val="false"/>
          <w:color w:val="000000"/>
          <w:sz w:val="24"/>
        </w:rPr>
        <w:t xml:space="preserve">means the same as defined in Iowa Code section </w:t>
      </w:r>
      <w:hyperlink r:id="rId21">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“Retention-only project” </w:t>
      </w:r>
      <w:r>
        <w:rPr>
          <w:rFonts w:ascii="Times New Roman" w:hAnsi="Times New Roman"/>
          <w:b w:val="false"/>
          <w:i w:val="false"/>
          <w:color w:val="000000"/>
          <w:sz w:val="24"/>
        </w:rPr>
        <w:t>means a project that involves only retained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“Tax incentive” </w:t>
      </w:r>
      <w:r>
        <w:rPr>
          <w:rFonts w:ascii="Times New Roman" w:hAnsi="Times New Roman"/>
          <w:b w:val="false"/>
          <w:i w:val="false"/>
          <w:color w:val="000000"/>
          <w:sz w:val="24"/>
        </w:rPr>
        <w:t xml:space="preserve">means a sales and use tax refund approved pursuant to Iowa Code section </w:t>
      </w:r>
      <w:hyperlink r:id="rId22">
        <w:r>
          <w:rPr>
            <w:rStyle w:val="Hyperlink"/>
            <w:rFonts w:ascii="Times New Roman" w:hAnsi="Times New Roman"/>
            <w:b w:val="false"/>
            <w:i w:val="false"/>
            <w:color w:val="000000"/>
            <w:sz w:val="24"/>
          </w:rPr>
          <w:t>15.507</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 qualifying investment tax credit approved pursuant to Iowa Code section </w:t>
      </w:r>
      <w:hyperlink r:id="rId23">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or a combination of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“Total project cost” </w:t>
      </w:r>
      <w:r>
        <w:rPr>
          <w:rFonts w:ascii="Times New Roman" w:hAnsi="Times New Roman"/>
          <w:b w:val="false"/>
          <w:i w:val="false"/>
          <w:color w:val="000000"/>
          <w:sz w:val="24"/>
        </w:rPr>
        <w:t>means the total cost incurred by an eligible business to complete a project, including but not limited to qualifying investment, as identified in an agreement.</w:t>
      </w:r>
    </w:p>
    <w:p>
      <w:pPr>
        <w:spacing w:before="0" w:after="0" w:line="480"/>
        <w:ind w:left="120"/>
        <w:jc w:val="both"/>
      </w:pPr>
      <w:r>
        <w:rPr>
          <w:rFonts w:ascii="Times New Roman" w:hAnsi="Times New Roman"/>
          <w:b/>
          <w:i w:val="false"/>
          <w:color w:val="000000"/>
          <w:sz w:val="24"/>
        </w:rPr>
        <w:t>261—69.2</w:t>
      </w:r>
      <w:r>
        <w:rPr>
          <w:rFonts w:ascii="Times New Roman" w:hAnsi="Times New Roman"/>
          <w:b/>
          <w:i w:val="false"/>
          <w:color w:val="000000"/>
          <w:sz w:val="24"/>
        </w:rPr>
        <w:t xml:space="preserve">(15) </w:t>
      </w:r>
      <w:r>
        <w:rPr>
          <w:rFonts w:ascii="Times New Roman" w:hAnsi="Times New Roman"/>
          <w:b/>
          <w:i w:val="false"/>
          <w:color w:val="000000"/>
          <w:sz w:val="24"/>
        </w:rPr>
        <w:t xml:space="preserve">Eligibility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w:t>
      </w:r>
      <w:r>
        <w:rPr>
          <w:rFonts w:ascii="Times New Roman" w:hAnsi="Times New Roman"/>
          <w:b w:val="false"/>
          <w:i w:val="false"/>
          <w:color w:val="000000"/>
          <w:sz w:val="24"/>
        </w:rPr>
        <w:t> </w:t>
      </w:r>
      <w:r>
        <w:rPr>
          <w:rFonts w:ascii="Times New Roman" w:hAnsi="Times New Roman"/>
          <w:b w:val="false"/>
          <w:i/>
          <w:color w:val="000000"/>
          <w:sz w:val="24"/>
        </w:rPr>
        <w:t xml:space="preserve">Community approval. </w:t>
      </w:r>
      <w:r>
        <w:rPr>
          <w:rFonts w:ascii="Times New Roman" w:hAnsi="Times New Roman"/>
          <w:b w:val="false"/>
          <w:i w:val="false"/>
          <w:color w:val="000000"/>
          <w:sz w:val="24"/>
        </w:rPr>
        <w:t xml:space="preserve">Community approval of the project by ordinance or resolution is required as specified in Iowa Code section </w:t>
      </w:r>
      <w:hyperlink r:id="rId24">
        <w:r>
          <w:rPr>
            <w:rStyle w:val="Hyperlink"/>
            <w:rFonts w:ascii="Times New Roman" w:hAnsi="Times New Roman"/>
            <w:b w:val="false"/>
            <w:i w:val="false"/>
            <w:color w:val="000000"/>
            <w:sz w:val="24"/>
          </w:rPr>
          <w:t>15.504</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69.2(2)</w:t>
      </w:r>
      <w:r>
        <w:rPr>
          <w:rFonts w:ascii="Times New Roman" w:hAnsi="Times New Roman"/>
          <w:b w:val="false"/>
          <w:i w:val="false"/>
          <w:color w:val="000000"/>
          <w:sz w:val="24"/>
        </w:rPr>
        <w:t> </w:t>
      </w:r>
      <w:r>
        <w:rPr>
          <w:rFonts w:ascii="Times New Roman" w:hAnsi="Times New Roman"/>
          <w:b w:val="false"/>
          <w:i/>
          <w:color w:val="000000"/>
          <w:sz w:val="24"/>
        </w:rPr>
        <w:t xml:space="preserve">Eligible businesses.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purposes of determining whether a business is an eligible business type pursuant to Iowa Code section </w:t>
      </w:r>
      <w:hyperlink r:id="rId25">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“retail business” means any business primarily engaged in the business of sale at retail of tangible personal property or taxable services in this state or online. “Sale at retail” means the same as defined in Iowa Code section </w:t>
      </w:r>
      <w:hyperlink r:id="rId26">
        <w:r>
          <w:rPr>
            <w:rStyle w:val="Hyperlink"/>
            <w:rFonts w:ascii="Times New Roman" w:hAnsi="Times New Roman"/>
            <w:b w:val="false"/>
            <w:i w:val="false"/>
            <w:color w:val="000000"/>
            <w:sz w:val="24"/>
          </w:rPr>
          <w:t>423.1(46)</w:t>
        </w:r>
      </w:hyperlink>
      <w:r>
        <w:rPr>
          <w:rFonts w:ascii="Times New Roman" w:hAnsi="Times New Roman"/>
          <w:b w:val="false"/>
          <w:i w:val="false"/>
          <w:color w:val="000000"/>
          <w:sz w:val="24"/>
        </w:rPr>
        <w:t xml:space="preserve">. A business obligated to collect sales or use tax under Iowa Code chapter </w:t>
      </w:r>
      <w:hyperlink r:id="rId27">
        <w:r>
          <w:rPr>
            <w:rStyle w:val="Hyperlink"/>
            <w:rFonts w:ascii="Times New Roman" w:hAnsi="Times New Roman"/>
            <w:b w:val="false"/>
            <w:i w:val="false"/>
            <w:color w:val="000000"/>
            <w:sz w:val="24"/>
          </w:rPr>
          <w:t>423</w:t>
        </w:r>
      </w:hyperlink>
      <w:r>
        <w:rPr>
          <w:rFonts w:ascii="Times New Roman" w:hAnsi="Times New Roman"/>
          <w:b w:val="false"/>
          <w:i w:val="false"/>
          <w:color w:val="000000"/>
          <w:sz w:val="24"/>
        </w:rPr>
        <w:t xml:space="preserve"> may be an ineligible retail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service business is not eligible for the program unless a significant proportion of its sales, as determined by the authority, are outside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provide evidence that the business’s primary operations are in a qualifying industry pursuant to Iowa Code section </w:t>
      </w:r>
      <w:hyperlink r:id="rId28">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Such evidence may include but is not limited to whether the business has a North American industry classification system (NAICS) number aligned with the relevant industries as determined by the authority. Businesses with other NAICS numbers will be required to document to the authority’s satisfaction that the business is primarily engaged in an applicable industry identified in Iowa Code section </w:t>
      </w:r>
      <w:hyperlink r:id="rId29">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based on factors including but not limited to sources of revenue and customer base.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business shall demonstrate it is not a data center business that is ineligible for the program pursuant to Iowa Code section </w:t>
      </w:r>
      <w:hyperlink r:id="rId30">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 foreign business shall demonstrate that it is not associated with a foreign adversary or foreign adversary entity. For the purposes of this paragraph, the following definitions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“Foreign business” means the same as defined in Iowa Code section </w:t>
      </w:r>
      <w:hyperlink r:id="rId31">
        <w:r>
          <w:rPr>
            <w:rStyle w:val="Hyperlink"/>
            <w:rFonts w:ascii="Times New Roman" w:hAnsi="Times New Roman"/>
            <w:b w:val="false"/>
            <w:i w:val="false"/>
            <w:color w:val="000000"/>
            <w:sz w:val="24"/>
          </w:rPr>
          <w:t>9I.1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“Foreign adversary” means a foreign government or foreign non-government person as determined in </w:t>
      </w:r>
      <w:r>
        <w:rPr>
          <w:rFonts w:ascii="Times New Roman" w:hAnsi="Times New Roman"/>
          <w:b w:val="false"/>
          <w:i w:val="false"/>
          <w:color w:val="000000"/>
          <w:sz w:val="24"/>
        </w:rPr>
        <w:t>15 CFR §7.4</w:t>
      </w:r>
      <w:r>
        <w:rPr>
          <w:rFonts w:ascii="Times New Roman" w:hAnsi="Times New Roman"/>
          <w:b w:val="false"/>
          <w:i w:val="false"/>
          <w:color w:val="000000"/>
          <w:sz w:val="24"/>
        </w:rPr>
        <w:t xml:space="preserve"> or 15 CFR §791.4 at any time on March 4, 2024, and that is listed in </w:t>
      </w:r>
      <w:r>
        <w:rPr>
          <w:rFonts w:ascii="Times New Roman" w:hAnsi="Times New Roman"/>
          <w:b w:val="false"/>
          <w:i w:val="false"/>
          <w:color w:val="000000"/>
          <w:sz w:val="24"/>
        </w:rPr>
        <w:t>15 CFR §7.4(a)</w:t>
      </w:r>
      <w:r>
        <w:rPr>
          <w:rFonts w:ascii="Times New Roman" w:hAnsi="Times New Roman"/>
          <w:b w:val="false"/>
          <w:i w:val="false"/>
          <w:color w:val="000000"/>
          <w:sz w:val="24"/>
        </w:rPr>
        <w:t xml:space="preserve"> or 15 CFR §791.4(a) at any time from March 4,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“Foreign adversary entity” means a foreign business subject to the jurisdiction of or organized under the laws of a foreign adversary or a foreign business owned, directed, or controlled by a foreign adversary.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69.2(3)</w:t>
      </w:r>
      <w:r>
        <w:rPr>
          <w:rFonts w:ascii="Times New Roman" w:hAnsi="Times New Roman"/>
          <w:b w:val="false"/>
          <w:i w:val="false"/>
          <w:color w:val="000000"/>
          <w:sz w:val="24"/>
        </w:rPr>
        <w:t> </w:t>
      </w:r>
      <w:r>
        <w:rPr>
          <w:rFonts w:ascii="Times New Roman" w:hAnsi="Times New Roman"/>
          <w:b w:val="false"/>
          <w:i/>
          <w:color w:val="000000"/>
          <w:sz w:val="24"/>
        </w:rPr>
        <w:t xml:space="preserve">Relocations and reductions in operations. </w:t>
      </w:r>
      <w:r>
        <w:rPr>
          <w:rFonts w:ascii="Times New Roman" w:hAnsi="Times New Roman"/>
          <w:b w:val="false"/>
          <w:i w:val="false"/>
          <w:color w:val="000000"/>
          <w:sz w:val="24"/>
        </w:rPr>
        <w:t xml:space="preserve">The authority will determine whether a business is ineligible due to a relocation or reduction in operations pursuant to Iowa Code section </w:t>
      </w:r>
      <w:hyperlink r:id="rId32">
        <w:r>
          <w:rPr>
            <w:rStyle w:val="Hyperlink"/>
            <w:rFonts w:ascii="Times New Roman" w:hAnsi="Times New Roman"/>
            <w:b w:val="false"/>
            <w:i w:val="false"/>
            <w:color w:val="000000"/>
            <w:sz w:val="24"/>
          </w:rPr>
          <w:t>15.504(1)</w:t>
        </w:r>
        <w:r>
          <w:rPr>
            <w:rFonts w:ascii="Times New Roman" w:hAnsi="Times New Roman"/>
            <w:b w:val="false"/>
            <w:i/>
            <w:color w:val="000000"/>
            <w:sz w:val="24"/>
          </w:rPr>
          <w:t>“c”</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For the purposes of this subrule, “reduction in operations” includes but is not limited to a layoff during the 12 months before an application is submitted to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69.2(4)</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sufficient benefits. </w:t>
      </w:r>
      <w:r>
        <w:rPr>
          <w:rFonts w:ascii="Times New Roman" w:hAnsi="Times New Roman"/>
          <w:b w:val="false"/>
          <w:i w:val="false"/>
          <w:color w:val="000000"/>
          <w:sz w:val="24"/>
        </w:rPr>
        <w:t>The business shall offer a sufficient package of benefits to each full-time equivalent position included in the business’s base employment level and to each full-time equivalent position at the project location until the contract end date. The benefits package provided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69.2(5)</w:t>
      </w:r>
      <w:r>
        <w:rPr>
          <w:rFonts w:ascii="Times New Roman" w:hAnsi="Times New Roman"/>
          <w:b w:val="false"/>
          <w:i w:val="false"/>
          <w:color w:val="000000"/>
          <w:sz w:val="24"/>
        </w:rPr>
        <w:t> </w:t>
      </w:r>
      <w:r>
        <w:rPr>
          <w:rFonts w:ascii="Times New Roman" w:hAnsi="Times New Roman"/>
          <w:b w:val="false"/>
          <w:i/>
          <w:color w:val="000000"/>
          <w:sz w:val="24"/>
        </w:rPr>
        <w:t xml:space="preserve">Violations of law. </w:t>
      </w:r>
      <w:r>
        <w:rPr>
          <w:rFonts w:ascii="Times New Roman" w:hAnsi="Times New Roman"/>
          <w:b w:val="false"/>
          <w:i w:val="false"/>
          <w:color w:val="000000"/>
          <w:sz w:val="24"/>
        </w:rPr>
        <w:t xml:space="preserve">The authority will address violations of law as described in Iowa Code section </w:t>
      </w:r>
      <w:hyperlink r:id="rId33">
        <w:r>
          <w:rPr>
            <w:rStyle w:val="Hyperlink"/>
            <w:rFonts w:ascii="Times New Roman" w:hAnsi="Times New Roman"/>
            <w:b w:val="false"/>
            <w:i w:val="false"/>
            <w:color w:val="000000"/>
            <w:sz w:val="24"/>
          </w:rPr>
          <w:t>15.504(1)</w:t>
        </w:r>
      </w:hyperlink>
      <w:r>
        <w:rPr>
          <w:rFonts w:ascii="Times New Roman" w:hAnsi="Times New Roman"/>
          <w:b w:val="false"/>
          <w:i/>
          <w:color w:val="000000"/>
          <w:sz w:val="24"/>
        </w:rPr>
        <w:t>“e”</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69.2(6)</w:t>
      </w:r>
      <w:r>
        <w:rPr>
          <w:rFonts w:ascii="Times New Roman" w:hAnsi="Times New Roman"/>
          <w:b w:val="false"/>
          <w:i w:val="false"/>
          <w:color w:val="000000"/>
          <w:sz w:val="24"/>
        </w:rPr>
        <w:t> </w:t>
      </w:r>
      <w:r>
        <w:rPr>
          <w:rFonts w:ascii="Times New Roman" w:hAnsi="Times New Roman"/>
          <w:b w:val="false"/>
          <w:i/>
          <w:color w:val="000000"/>
          <w:sz w:val="24"/>
        </w:rPr>
        <w:t xml:space="preserve">Sufficient economic impact. </w:t>
      </w:r>
      <w:r>
        <w:rPr>
          <w:rFonts w:ascii="Times New Roman" w:hAnsi="Times New Roman"/>
          <w:b w:val="false"/>
          <w:i w:val="false"/>
          <w:color w:val="000000"/>
          <w:sz w:val="24"/>
        </w:rPr>
        <w:t xml:space="preserve">The business shall demonstrate that the project has a sufficient economic impact as described in Iowa Code section </w:t>
      </w:r>
      <w:hyperlink r:id="rId34">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69.2(7)</w:t>
      </w:r>
      <w:r>
        <w:rPr>
          <w:rFonts w:ascii="Times New Roman" w:hAnsi="Times New Roman"/>
          <w:b w:val="false"/>
          <w:i w:val="false"/>
          <w:color w:val="000000"/>
          <w:sz w:val="24"/>
        </w:rPr>
        <w:t> </w:t>
      </w:r>
      <w:r>
        <w:rPr>
          <w:rFonts w:ascii="Times New Roman" w:hAnsi="Times New Roman"/>
          <w:b w:val="false"/>
          <w:i/>
          <w:color w:val="000000"/>
          <w:sz w:val="24"/>
        </w:rPr>
        <w:t xml:space="preserve">Created and retained jobs. </w:t>
      </w:r>
      <w:r>
        <w:rPr>
          <w:rFonts w:ascii="Times New Roman" w:hAnsi="Times New Roman"/>
          <w:b w:val="false"/>
          <w:i w:val="false"/>
          <w:color w:val="000000"/>
          <w:sz w:val="24"/>
        </w:rPr>
        <w:t xml:space="preserve">The jobs created or retained by a business shall pay the applicable wages as established in rule </w:t>
      </w:r>
      <w:hyperlink r:id="rId35">
        <w:r>
          <w:rPr>
            <w:rStyle w:val="Hyperlink"/>
            <w:rFonts w:ascii="Times New Roman" w:hAnsi="Times New Roman"/>
            <w:b w:val="false"/>
            <w:i w:val="false"/>
            <w:color w:val="000000"/>
            <w:sz w:val="24"/>
          </w:rPr>
          <w:t>261—69.9</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69.2(8)</w:t>
      </w:r>
      <w:r>
        <w:rPr>
          <w:rFonts w:ascii="Times New Roman" w:hAnsi="Times New Roman"/>
          <w:b w:val="false"/>
          <w:i w:val="false"/>
          <w:color w:val="000000"/>
          <w:sz w:val="24"/>
        </w:rPr>
        <w:t> </w:t>
      </w:r>
      <w:r>
        <w:rPr>
          <w:rFonts w:ascii="Times New Roman" w:hAnsi="Times New Roman"/>
          <w:b w:val="false"/>
          <w:i/>
          <w:color w:val="000000"/>
          <w:sz w:val="24"/>
        </w:rPr>
        <w:t xml:space="preserve">Applicant’s past or current performance. </w:t>
      </w:r>
      <w:r>
        <w:rPr>
          <w:rFonts w:ascii="Times New Roman" w:hAnsi="Times New Roman"/>
          <w:b w:val="false"/>
          <w:i w:val="false"/>
          <w:color w:val="000000"/>
          <w:sz w:val="24"/>
        </w:rPr>
        <w:t>If an applicant received a prior award or other benefit through any program administered by the authority or any other state agency, the authority and board will consider the applicant’s past or current performance under the prior award or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69.2(9)</w:t>
      </w:r>
      <w:r>
        <w:rPr>
          <w:rFonts w:ascii="Times New Roman" w:hAnsi="Times New Roman"/>
          <w:b w:val="false"/>
          <w:i w:val="false"/>
          <w:color w:val="000000"/>
          <w:sz w:val="24"/>
        </w:rPr>
        <w:t> </w:t>
      </w:r>
      <w:r>
        <w:rPr>
          <w:rFonts w:ascii="Times New Roman" w:hAnsi="Times New Roman"/>
          <w:b w:val="false"/>
          <w:i/>
          <w:color w:val="000000"/>
          <w:sz w:val="24"/>
        </w:rPr>
        <w:t xml:space="preserve">Results of due diligence review. </w:t>
      </w:r>
      <w:r>
        <w:rPr>
          <w:rFonts w:ascii="Times New Roman" w:hAnsi="Times New Roman"/>
          <w:b w:val="false"/>
          <w:i w:val="false"/>
          <w:color w:val="000000"/>
          <w:sz w:val="24"/>
        </w:rPr>
        <w:t xml:space="preserve">The authority will complete a due diligence review, including but not limited to lien searches, reports of violations, pending or resolved litigation, and other relevant information about the applicant. The authority will determine whether a business is ineligible due to the results of the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69.2(10)</w:t>
      </w:r>
      <w:r>
        <w:rPr>
          <w:rFonts w:ascii="Times New Roman" w:hAnsi="Times New Roman"/>
          <w:b w:val="false"/>
          <w:i w:val="false"/>
          <w:color w:val="000000"/>
          <w:sz w:val="24"/>
        </w:rPr>
        <w:t> </w:t>
      </w:r>
      <w:r>
        <w:rPr>
          <w:rFonts w:ascii="Times New Roman" w:hAnsi="Times New Roman"/>
          <w:b w:val="false"/>
          <w:i/>
          <w:color w:val="000000"/>
          <w:sz w:val="24"/>
        </w:rPr>
        <w:t xml:space="preserve">Other factors. </w:t>
      </w:r>
      <w:r>
        <w:rPr>
          <w:rFonts w:ascii="Times New Roman" w:hAnsi="Times New Roman"/>
          <w:b w:val="false"/>
          <w:i w:val="false"/>
          <w:color w:val="000000"/>
          <w:sz w:val="24"/>
        </w:rPr>
        <w:t xml:space="preserve">The authority shall consider any applicable additional factors pursuant to Iowa Code section </w:t>
      </w:r>
      <w:hyperlink r:id="rId36">
        <w:r>
          <w:rPr>
            <w:rStyle w:val="Hyperlink"/>
            <w:rFonts w:ascii="Times New Roman" w:hAnsi="Times New Roman"/>
            <w:b w:val="false"/>
            <w:i w:val="false"/>
            <w:color w:val="000000"/>
            <w:sz w:val="24"/>
          </w:rPr>
          <w:t>15.504(2)</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to determine whether a business is an eligible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69.2(11)</w:t>
      </w:r>
      <w:r>
        <w:rPr>
          <w:rFonts w:ascii="Times New Roman" w:hAnsi="Times New Roman"/>
          <w:b w:val="false"/>
          <w:i w:val="false"/>
          <w:color w:val="000000"/>
          <w:sz w:val="24"/>
        </w:rPr>
        <w:t> </w:t>
      </w:r>
      <w:r>
        <w:rPr>
          <w:rFonts w:ascii="Times New Roman" w:hAnsi="Times New Roman"/>
          <w:b w:val="false"/>
          <w:i/>
          <w:color w:val="000000"/>
          <w:sz w:val="24"/>
        </w:rPr>
        <w:t xml:space="preserve">Ineligible projects.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activities are presumed by the authority to lack sufficient economic impact to accomplish the goals of the program and are not eligible for the program pursuant to Iowa Code section </w:t>
      </w:r>
      <w:hyperlink r:id="rId37">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Facility maintenance,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Replacement or upgrades of equipment occurring in the normal course of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project representing solely acquisition of a business as a going concern that does not include creation or retention of jobs and qualifying investment at the acquired business facility is not eligible for the program. A qualified project that occurs following acquisition of a business as a going concern may be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qualifying investment for a project includes long-term lease costs, the project is not eligible for the program unless the proposed lease is for a term of at least ten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69.2(12)</w:t>
      </w:r>
      <w:r>
        <w:rPr>
          <w:rFonts w:ascii="Times New Roman" w:hAnsi="Times New Roman"/>
          <w:b w:val="false"/>
          <w:i w:val="false"/>
          <w:color w:val="000000"/>
          <w:sz w:val="24"/>
        </w:rPr>
        <w:t> </w:t>
      </w:r>
      <w:r>
        <w:rPr>
          <w:rFonts w:ascii="Times New Roman" w:hAnsi="Times New Roman"/>
          <w:b w:val="false"/>
          <w:i/>
          <w:color w:val="000000"/>
          <w:sz w:val="24"/>
        </w:rPr>
        <w:t xml:space="preserve">Project initiation. </w:t>
      </w:r>
      <w:r>
        <w:rPr>
          <w:rFonts w:ascii="Times New Roman" w:hAnsi="Times New Roman"/>
          <w:b w:val="false"/>
          <w:i w:val="false"/>
          <w:color w:val="000000"/>
          <w:sz w:val="24"/>
        </w:rPr>
        <w:t>An eligible business shall not initiate its project prior to board approval of the business’s application for the program unless the business establishes that a delay in initiating the project would result in undue hardship or that extenuating circumstances necessitate initiating the project prior to approval of the business’s application. Whether an undue hardship or extenuating circumstance exists will be determined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one of the following may indicate that a project has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start of construction of new or expanded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start of rehabilitation of existing buildings;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purchase or leasing of existing buildings;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installation of new machinery and equipment or new computers to be used in the operation of the business’s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shall not indicate a project has been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purchase of land or signing of an option to purchase land;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Earthmoving or other site development activities not involving actual building construction, expansion or rehabilitation;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Acquisition of a business as a going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costs incurred prior to the award date are not eligible qualifying investment expenses.</w:t>
      </w:r>
    </w:p>
    <w:p>
      <w:pPr>
        <w:spacing w:before="0" w:after="0" w:line="480"/>
        <w:ind w:left="120"/>
        <w:jc w:val="both"/>
      </w:pPr>
      <w:r>
        <w:rPr>
          <w:rFonts w:ascii="Times New Roman" w:hAnsi="Times New Roman"/>
          <w:b/>
          <w:i w:val="false"/>
          <w:color w:val="000000"/>
          <w:sz w:val="24"/>
        </w:rPr>
        <w:t>261—69.3</w:t>
      </w:r>
      <w:r>
        <w:rPr>
          <w:rFonts w:ascii="Times New Roman" w:hAnsi="Times New Roman"/>
          <w:b/>
          <w:i w:val="false"/>
          <w:color w:val="000000"/>
          <w:sz w:val="24"/>
        </w:rPr>
        <w:t xml:space="preserve">(15) </w:t>
      </w:r>
      <w:r>
        <w:rPr>
          <w:rFonts w:ascii="Times New Roman" w:hAnsi="Times New Roman"/>
          <w:b/>
          <w:i w:val="false"/>
          <w:color w:val="000000"/>
          <w:sz w:val="24"/>
        </w:rPr>
        <w:t xml:space="preserve">Application process and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69.3(1)</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Businesses applying for the program shall utilize a standardized application developed by the authority and submit the application to the authority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69.3(2)</w:t>
      </w:r>
      <w:r>
        <w:rPr>
          <w:rFonts w:ascii="Times New Roman" w:hAnsi="Times New Roman"/>
          <w:b w:val="false"/>
          <w:i w:val="false"/>
          <w:color w:val="000000"/>
          <w:sz w:val="24"/>
        </w:rPr>
        <w:t> </w:t>
      </w:r>
      <w:r>
        <w:rPr>
          <w:rFonts w:ascii="Times New Roman" w:hAnsi="Times New Roman"/>
          <w:b w:val="false"/>
          <w:i/>
          <w:color w:val="000000"/>
          <w:sz w:val="24"/>
        </w:rPr>
        <w:t xml:space="preserve">Community participation. </w:t>
      </w:r>
      <w:r>
        <w:rPr>
          <w:rFonts w:ascii="Times New Roman" w:hAnsi="Times New Roman"/>
          <w:b w:val="false"/>
          <w:i w:val="false"/>
          <w:color w:val="000000"/>
          <w:sz w:val="24"/>
        </w:rPr>
        <w:t>The application shall include an ordinance or resolution of the community’s governing body approving the project. If applicable, the application shall also include documentation of any incentives or assistance to be provided by the community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69.3(3)</w:t>
      </w:r>
      <w:r>
        <w:rPr>
          <w:rFonts w:ascii="Times New Roman" w:hAnsi="Times New Roman"/>
          <w:b w:val="false"/>
          <w:i w:val="false"/>
          <w:color w:val="000000"/>
          <w:sz w:val="24"/>
        </w:rPr>
        <w:t> </w:t>
      </w:r>
      <w:r>
        <w:rPr>
          <w:rFonts w:ascii="Times New Roman" w:hAnsi="Times New Roman"/>
          <w:b w:val="false"/>
          <w:i/>
          <w:color w:val="000000"/>
          <w:sz w:val="24"/>
        </w:rPr>
        <w:t xml:space="preserve">Water conservation and waste reduction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To determine whether a water conservation and waste reduction plan is required pursuant to Iowa Code section </w:t>
      </w:r>
      <w:hyperlink r:id="rId38">
        <w:r>
          <w:rPr>
            <w:rStyle w:val="Hyperlink"/>
            <w:rFonts w:ascii="Times New Roman" w:hAnsi="Times New Roman"/>
            <w:b w:val="false"/>
            <w:i w:val="false"/>
            <w:color w:val="000000"/>
            <w:sz w:val="24"/>
          </w:rPr>
          <w:t>15.505(1)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authority will consider the following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anticipated water consumption and wastewater discharge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capacity of applicable water provider facilities that will serve the project compared to the total anticipated water consumption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information provided by the applicable water provider or local municipality about its ability or inability to accommodate the anticipated water consumption and wastewater discharge for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information provided by the department of natural resources (DNR) about the ability or inability of the applicable water provider to accommodate the anticipated water consumption and wastewater discharge for the project or that demonstrates that the applicant is not in good standing with DNR.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Any other factors relevant to water consumption and wastewater management at the project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required, the water conservation and waste reduction plan required by Iowa Code section </w:t>
      </w:r>
      <w:hyperlink r:id="rId39">
        <w:r>
          <w:rPr>
            <w:rStyle w:val="Hyperlink"/>
            <w:rFonts w:ascii="Times New Roman" w:hAnsi="Times New Roman"/>
            <w:b w:val="false"/>
            <w:i w:val="false"/>
            <w:color w:val="000000"/>
            <w:sz w:val="24"/>
          </w:rPr>
          <w:t>15.505(1)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shall be submitted to the authority as an attachment to the standardized application developed by the authority. The plan should be developed by an employee or third-party provider with sufficient professional expertise to determine the anticipated water consumption and wastewater discharge for the project. The plan shall describe the impact of the project on the applicable water provider and the community or communities served by the applicable water provider and any measures to be taken by the business to mitigate its water consumption or wastewater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69.3(4)</w:t>
      </w:r>
      <w:r>
        <w:rPr>
          <w:rFonts w:ascii="Times New Roman" w:hAnsi="Times New Roman"/>
          <w:b w:val="false"/>
          <w:i w:val="false"/>
          <w:color w:val="000000"/>
          <w:sz w:val="24"/>
        </w:rPr>
        <w:t> </w:t>
      </w:r>
      <w:r>
        <w:rPr>
          <w:rFonts w:ascii="Times New Roman" w:hAnsi="Times New Roman"/>
          <w:b w:val="false"/>
          <w:i/>
          <w:color w:val="000000"/>
          <w:sz w:val="24"/>
        </w:rPr>
        <w:t xml:space="preserve">Applicability of wage requirements. </w:t>
      </w:r>
      <w:r>
        <w:rPr>
          <w:rFonts w:ascii="Times New Roman" w:hAnsi="Times New Roman"/>
          <w:b w:val="false"/>
          <w:i w:val="false"/>
          <w:color w:val="000000"/>
          <w:sz w:val="24"/>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Qualifying wage thresholds will be calculated and applied as described in rule </w:t>
      </w:r>
      <w:hyperlink r:id="rId40">
        <w:r>
          <w:rPr>
            <w:rStyle w:val="Hyperlink"/>
            <w:rFonts w:ascii="Times New Roman" w:hAnsi="Times New Roman"/>
            <w:b w:val="false"/>
            <w:i w:val="false"/>
            <w:color w:val="000000"/>
            <w:sz w:val="24"/>
          </w:rPr>
          <w:t>261—69.9</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69.3(5)</w:t>
      </w:r>
      <w:r>
        <w:rPr>
          <w:rFonts w:ascii="Times New Roman" w:hAnsi="Times New Roman"/>
          <w:b w:val="false"/>
          <w:i w:val="false"/>
          <w:color w:val="000000"/>
          <w:sz w:val="24"/>
        </w:rPr>
        <w:t> </w:t>
      </w:r>
      <w:r>
        <w:rPr>
          <w:rFonts w:ascii="Times New Roman" w:hAnsi="Times New Roman"/>
          <w:b w:val="false"/>
          <w:i/>
          <w:color w:val="000000"/>
          <w:sz w:val="24"/>
        </w:rPr>
        <w:t xml:space="preserve">Job requirements. </w:t>
      </w:r>
      <w:r>
        <w:rPr>
          <w:rFonts w:ascii="Times New Roman" w:hAnsi="Times New Roman"/>
          <w:b w:val="false"/>
          <w:i w:val="false"/>
          <w:color w:val="000000"/>
          <w:sz w:val="24"/>
        </w:rPr>
        <w:t xml:space="preserve">If applicable, the created job and retained job requirements applicable to a project, identified as described in rule </w:t>
      </w:r>
      <w:hyperlink r:id="rId41">
        <w:r>
          <w:rPr>
            <w:rStyle w:val="Hyperlink"/>
            <w:rFonts w:ascii="Times New Roman" w:hAnsi="Times New Roman"/>
            <w:b w:val="false"/>
            <w:i w:val="false"/>
            <w:color w:val="000000"/>
            <w:sz w:val="24"/>
          </w:rPr>
          <w:t>261—69.8</w:t>
        </w:r>
      </w:hyperlink>
      <w:r>
        <w:rPr>
          <w:rFonts w:ascii="Times New Roman" w:hAnsi="Times New Roman"/>
          <w:b w:val="false"/>
          <w:i w:val="false"/>
          <w:color w:val="000000"/>
          <w:sz w:val="24"/>
        </w:rPr>
        <w:t>(15), will be established at the time of application. Job requirements will be based on the base employment level on the date the fully completed project application is received by the authority and the eligible business’s job projections and will be utilized to determine the amount of tax incentives and financial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69.3(6)</w:t>
      </w:r>
      <w:r>
        <w:rPr>
          <w:rFonts w:ascii="Times New Roman" w:hAnsi="Times New Roman"/>
          <w:b w:val="false"/>
          <w:i w:val="false"/>
          <w:color w:val="000000"/>
          <w:sz w:val="24"/>
        </w:rPr>
        <w:t> </w:t>
      </w:r>
      <w:r>
        <w:rPr>
          <w:rFonts w:ascii="Times New Roman" w:hAnsi="Times New Roman"/>
          <w:b w:val="false"/>
          <w:i/>
          <w:color w:val="000000"/>
          <w:sz w:val="24"/>
        </w:rPr>
        <w:t xml:space="preserve">Investment requirements. </w:t>
      </w:r>
      <w:r>
        <w:rPr>
          <w:rFonts w:ascii="Times New Roman" w:hAnsi="Times New Roman"/>
          <w:b w:val="false"/>
          <w:i w:val="false"/>
          <w:color w:val="000000"/>
          <w:sz w:val="24"/>
        </w:rPr>
        <w:t xml:space="preserve">The investment requirements applicable to a project will be established at the time of application. Investment requirements are based on an eligible business’s estimates of total project costs and qualifying investment and will be utilized to determine the amount of tax incentives and financial assistance. For the purposes of determining whether an expenditure is a qualifying investment as defined in Iowa Code section </w:t>
      </w:r>
      <w:hyperlink r:id="rId42">
        <w:r>
          <w:rPr>
            <w:rStyle w:val="Hyperlink"/>
            <w:rFonts w:ascii="Times New Roman" w:hAnsi="Times New Roman"/>
            <w:b w:val="false"/>
            <w:i w:val="false"/>
            <w:color w:val="000000"/>
            <w:sz w:val="24"/>
          </w:rPr>
          <w:t>15.503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following are considered a capital investment in depreciable assets for use in the operation of an eligible business: machinery and equipment used in the manufacturing process, computer hardware, and furniture and fixtures. The following will not be considered a capital investment in depreciable assets for use in the operation of an eligible business: any other machinery and equipment, racking or shelving, computer software, and research and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69.3(7)</w:t>
      </w:r>
      <w:r>
        <w:rPr>
          <w:rFonts w:ascii="Times New Roman" w:hAnsi="Times New Roman"/>
          <w:b w:val="false"/>
          <w:i w:val="false"/>
          <w:color w:val="000000"/>
          <w:sz w:val="24"/>
        </w:rPr>
        <w:t> </w:t>
      </w:r>
      <w:r>
        <w:rPr>
          <w:rFonts w:ascii="Times New Roman" w:hAnsi="Times New Roman"/>
          <w:b w:val="false"/>
          <w:i/>
          <w:color w:val="000000"/>
          <w:sz w:val="24"/>
        </w:rPr>
        <w:t xml:space="preserve">Board approval and notice.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Authority staff will review applications to ensure program eligibility requirements are satisfied and the application is complete. Authority staff may request additional information from the business or may use other resources to obtain the needed information. The authority or board may engage outside reviewers to complete technical, financial, or other reviews of applications beyond the expertise of the board and authority staff. Negotiation of the terms of, and the aggregate value of, tax incentives and financial assistance will occur following review of an application by authority staff and will be based on the factors identified in rule </w:t>
      </w:r>
      <w:hyperlink r:id="rId43">
        <w:r>
          <w:rPr>
            <w:rStyle w:val="Hyperlink"/>
            <w:rFonts w:ascii="Times New Roman" w:hAnsi="Times New Roman"/>
            <w:b w:val="false"/>
            <w:i w:val="false"/>
            <w:color w:val="000000"/>
            <w:sz w:val="24"/>
          </w:rPr>
          <w:t>261—69.4</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Complete and eligible applications and supporting documentation will be submitted to the board for its consideration. The authority shall have sole discretion to determine whether an application is fully completed and the date on which it was fully completed. Authority staff will submit a report to the board that summarizes the project. The report will include recommendations from authority staff on the terms of, and the aggregate value of, tax incentives and, if applicable, financial assistance based on the factors identified in rule </w:t>
      </w:r>
      <w:hyperlink r:id="rId44">
        <w:r>
          <w:rPr>
            <w:rStyle w:val="Hyperlink"/>
            <w:rFonts w:ascii="Times New Roman" w:hAnsi="Times New Roman"/>
            <w:b w:val="false"/>
            <w:i w:val="false"/>
            <w:color w:val="000000"/>
            <w:sz w:val="24"/>
          </w:rPr>
          <w:t>261—69.4</w:t>
        </w:r>
      </w:hyperlink>
      <w:r>
        <w:rPr>
          <w:rFonts w:ascii="Times New Roman" w:hAnsi="Times New Roman"/>
          <w:b w:val="false"/>
          <w:i w:val="false"/>
          <w:color w:val="000000"/>
          <w:sz w:val="24"/>
        </w:rPr>
        <w:t>(15) or any other elements of the proposed award. Staff may provide the board additional information or documentation as determined by staff. The board may offer an award that differs from that requested or recommended by authority staff. Meeting eligibility requirements does not guarantee that tax incentives or financial assistance will be offered or provided in the manner sought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due diligence committee of the board established pursuant to </w:t>
      </w:r>
      <w:hyperlink r:id="rId45">
        <w:r>
          <w:rPr>
            <w:rStyle w:val="Hyperlink"/>
            <w:rFonts w:ascii="Times New Roman" w:hAnsi="Times New Roman"/>
            <w:b w:val="false"/>
            <w:i w:val="false"/>
            <w:color w:val="000000"/>
            <w:sz w:val="24"/>
          </w:rPr>
          <w:t>261—Chapter 1</w:t>
        </w:r>
      </w:hyperlink>
      <w:r>
        <w:rPr>
          <w:rFonts w:ascii="Times New Roman" w:hAnsi="Times New Roman"/>
          <w:b w:val="false"/>
          <w:i w:val="false"/>
          <w:color w:val="000000"/>
          <w:sz w:val="24"/>
        </w:rPr>
        <w:t xml:space="preserve"> will review applications and make recommendations regarding the size and conditions of awards. The board may accept or reject recommendations from the due diligence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board approves an award, an applicant will be notified in writing, including any conditions and terms of the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69.3(8)</w:t>
      </w:r>
      <w:r>
        <w:rPr>
          <w:rFonts w:ascii="Times New Roman" w:hAnsi="Times New Roman"/>
          <w:b w:val="false"/>
          <w:i w:val="false"/>
          <w:color w:val="000000"/>
          <w:sz w:val="24"/>
        </w:rPr>
        <w:t> </w:t>
      </w:r>
      <w:r>
        <w:rPr>
          <w:rFonts w:ascii="Times New Roman" w:hAnsi="Times New Roman"/>
          <w:b w:val="false"/>
          <w:i/>
          <w:color w:val="000000"/>
          <w:sz w:val="24"/>
        </w:rPr>
        <w:t xml:space="preserve">Application fee. </w:t>
      </w:r>
      <w:r>
        <w:rPr>
          <w:rFonts w:ascii="Times New Roman" w:hAnsi="Times New Roman"/>
          <w:b w:val="false"/>
          <w:i w:val="false"/>
          <w:color w:val="000000"/>
          <w:sz w:val="24"/>
        </w:rPr>
        <w:t xml:space="preserve">An applicant for the program shall pay an application fee of one-half of 1 percent of the total amount of tax incentives and financial assistance recommended pursuant to paragraph </w:t>
      </w:r>
      <w:hyperlink r:id="rId46">
        <w:r>
          <w:rPr>
            <w:rStyle w:val="Hyperlink"/>
            <w:rFonts w:ascii="Times New Roman" w:hAnsi="Times New Roman"/>
            <w:b w:val="false"/>
            <w:i w:val="false"/>
            <w:color w:val="000000"/>
            <w:sz w:val="24"/>
          </w:rPr>
          <w:t>69.3(7)</w:t>
        </w:r>
      </w:hyperlink>
      <w:r>
        <w:rPr>
          <w:rFonts w:ascii="Times New Roman" w:hAnsi="Times New Roman"/>
          <w:b w:val="false"/>
          <w:i/>
          <w:color w:val="000000"/>
          <w:sz w:val="24"/>
        </w:rPr>
        <w:t>“b,”</w:t>
      </w:r>
      <w:r>
        <w:rPr>
          <w:rFonts w:ascii="Times New Roman" w:hAnsi="Times New Roman"/>
          <w:b w:val="false"/>
          <w:i w:val="false"/>
          <w:color w:val="000000"/>
          <w:sz w:val="24"/>
        </w:rPr>
        <w:t xml:space="preserve"> not to exceed $10,000, at the time an application is submitted to the board for its consideration. If the application fee has not been paid at the time of the board’s approval of an application, the board may condition its approval on payment of the fee, including specifying the date by which the fee must be paid. If the board approves a total amount of tax incentives and financial assistance that is more or less than the amount recommended by authority staff, the fee will be adjusted accordingly. The authority may refund the fee if the award is declined or rescinded within 180 days of approval. If the award is declined or rescinded more than 180 days after approval, the fee will not be refunded.</w:t>
      </w:r>
    </w:p>
    <w:p>
      <w:pPr>
        <w:spacing w:before="0" w:after="0" w:line="480"/>
        <w:ind w:left="120"/>
        <w:jc w:val="both"/>
      </w:pPr>
      <w:r>
        <w:rPr>
          <w:rFonts w:ascii="Times New Roman" w:hAnsi="Times New Roman"/>
          <w:b/>
          <w:i w:val="false"/>
          <w:color w:val="000000"/>
          <w:sz w:val="24"/>
        </w:rPr>
        <w:t>261—69.4</w:t>
      </w:r>
      <w:r>
        <w:rPr>
          <w:rFonts w:ascii="Times New Roman" w:hAnsi="Times New Roman"/>
          <w:b/>
          <w:i w:val="false"/>
          <w:color w:val="000000"/>
          <w:sz w:val="24"/>
        </w:rPr>
        <w:t xml:space="preserve">(15) </w:t>
      </w:r>
      <w:r>
        <w:rPr>
          <w:rFonts w:ascii="Times New Roman" w:hAnsi="Times New Roman"/>
          <w:b/>
          <w:i w:val="false"/>
          <w:color w:val="000000"/>
          <w:sz w:val="24"/>
        </w:rPr>
        <w:t xml:space="preserve">Award amounts and terms.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69.4(1)</w:t>
      </w:r>
      <w:r>
        <w:rPr>
          <w:rFonts w:ascii="Times New Roman" w:hAnsi="Times New Roman"/>
          <w:b w:val="false"/>
          <w:i w:val="false"/>
          <w:color w:val="000000"/>
          <w:sz w:val="24"/>
        </w:rPr>
        <w:t> </w:t>
      </w:r>
      <w:r>
        <w:rPr>
          <w:rFonts w:ascii="Times New Roman" w:hAnsi="Times New Roman"/>
          <w:b w:val="false"/>
          <w:i w:val="false"/>
          <w:color w:val="000000"/>
          <w:sz w:val="24"/>
        </w:rPr>
        <w:t>In negotiating the terms of, and the aggregate value of, tax incentives or financial assistance, the authority will consider a variety of factors,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Economic impact. </w:t>
      </w:r>
      <w:r>
        <w:rPr>
          <w:rFonts w:ascii="Times New Roman" w:hAnsi="Times New Roman"/>
          <w:b w:val="false"/>
          <w:i w:val="false"/>
          <w:color w:val="000000"/>
          <w:sz w:val="24"/>
        </w:rPr>
        <w:t xml:space="preserve">The extent to which an eligible business’s proposed project demonstrates economic impact on the state based on the factors identified in Iowa Code section </w:t>
      </w:r>
      <w:hyperlink r:id="rId47">
        <w:r>
          <w:rPr>
            <w:rStyle w:val="Hyperlink"/>
            <w:rFonts w:ascii="Times New Roman" w:hAnsi="Times New Roman"/>
            <w:b w:val="false"/>
            <w:i w:val="false"/>
            <w:color w:val="000000"/>
            <w:sz w:val="24"/>
          </w:rPr>
          <w:t>15.504(2)</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Level of need. </w:t>
      </w:r>
      <w:r>
        <w:rPr>
          <w:rFonts w:ascii="Times New Roman" w:hAnsi="Times New Roman"/>
          <w:b w:val="false"/>
          <w:i w:val="false"/>
          <w:color w:val="000000"/>
          <w:sz w:val="24"/>
        </w:rPr>
        <w:t>The following factors will determine the authority’s assessment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business can raise only a portion of the debt and equity necessary to complete the project. The existence of a gap between the financing required and the committed financing indicates that tax incentives or financial assistance may be needed to fill the gap.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Whether the likely returns of the project are inadequate to motivate a company decision maker to proceed with the project even if sufficient debt or equity can be raised to finance the project.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business is deciding between an Iowa site and a site in another state for its project and the cost of completing the project at the out-of-state site is demonstrably lower. Such a condition indicates that tax incentives or financial assistance may be needed to equalize the cost differential between the two sites. The authority will attempt to quantify the cost differential between the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Quality of the jobs. </w:t>
      </w:r>
      <w:r>
        <w:rPr>
          <w:rFonts w:ascii="Times New Roman" w:hAnsi="Times New Roman"/>
          <w:b w:val="false"/>
          <w:i w:val="false"/>
          <w:color w:val="000000"/>
          <w:sz w:val="24"/>
        </w:rPr>
        <w:t>The extent to which the jobs involved in the project are considered higher quality jobs is based on factors, including but not limited to wages; quality of benefits; requirements for specialized skills, education, or both; whether the jobs or applicable industry are expected to have low turnover of employees; and whether the jobs expose employees to minimal occupational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Created jobs. </w:t>
      </w:r>
      <w:r>
        <w:rPr>
          <w:rFonts w:ascii="Times New Roman" w:hAnsi="Times New Roman"/>
          <w:b w:val="false"/>
          <w:i w:val="false"/>
          <w:color w:val="000000"/>
          <w:sz w:val="24"/>
        </w:rPr>
        <w:t>In addition to the number of created jobs, the authority may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number of created jobs that meet or exceed the qualifying wage threshold relative to the total number of created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created jobs relative to an eligible business’s base employment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number of created jobs relative to the population and employment levels of the community in which the project is located.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Community contributions. </w:t>
      </w:r>
      <w:r>
        <w:rPr>
          <w:rFonts w:ascii="Times New Roman" w:hAnsi="Times New Roman"/>
          <w:b w:val="false"/>
          <w:i w:val="false"/>
          <w:color w:val="000000"/>
          <w:sz w:val="24"/>
        </w:rPr>
        <w:t>Whether and to what extent the community in which the project is located is contributing to the success of the project through incentives or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69.4(2)</w:t>
      </w:r>
      <w:r>
        <w:rPr>
          <w:rFonts w:ascii="Times New Roman" w:hAnsi="Times New Roman"/>
          <w:b w:val="false"/>
          <w:i w:val="false"/>
          <w:color w:val="000000"/>
          <w:sz w:val="24"/>
        </w:rPr>
        <w:t> </w:t>
      </w:r>
      <w:r>
        <w:rPr>
          <w:rFonts w:ascii="Times New Roman" w:hAnsi="Times New Roman"/>
          <w:b w:val="false"/>
          <w:i w:val="false"/>
          <w:color w:val="000000"/>
          <w:sz w:val="24"/>
        </w:rPr>
        <w:t>Eligible businesses that do not propose to create any jobs, including eligible businesses that propose retention-only projects, will receive lower award amounts compared to amounts awarded to eligible businesses that propose to create jobs. The authority may establish award terms specific to projects that do not propose to create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69.4(3)</w:t>
      </w:r>
      <w:r>
        <w:rPr>
          <w:rFonts w:ascii="Times New Roman" w:hAnsi="Times New Roman"/>
          <w:b w:val="false"/>
          <w:i w:val="false"/>
          <w:color w:val="000000"/>
          <w:sz w:val="24"/>
        </w:rPr>
        <w:t> </w:t>
      </w:r>
      <w:r>
        <w:rPr>
          <w:rFonts w:ascii="Times New Roman" w:hAnsi="Times New Roman"/>
          <w:b w:val="false"/>
          <w:i w:val="false"/>
          <w:color w:val="000000"/>
          <w:sz w:val="24"/>
        </w:rPr>
        <w:t>Eligible businesses that propose a qualifying investment that includes long-term lease costs must demonstrate sufficient economic impact by proposing to create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69.4(4)</w:t>
      </w:r>
      <w:r>
        <w:rPr>
          <w:rFonts w:ascii="Times New Roman" w:hAnsi="Times New Roman"/>
          <w:b w:val="false"/>
          <w:i w:val="false"/>
          <w:color w:val="000000"/>
          <w:sz w:val="24"/>
        </w:rPr>
        <w:t> </w:t>
      </w:r>
      <w:r>
        <w:rPr>
          <w:rFonts w:ascii="Times New Roman" w:hAnsi="Times New Roman"/>
          <w:b w:val="false"/>
          <w:i w:val="false"/>
          <w:color w:val="000000"/>
          <w:sz w:val="24"/>
        </w:rPr>
        <w:t xml:space="preserve">Only projects that demonstrate extensive economic impact will be awarded the maximum amounts of tax incentives allowed pursuant to Iowa Code section </w:t>
      </w:r>
      <w:hyperlink r:id="rId48">
        <w:r>
          <w:rPr>
            <w:rStyle w:val="Hyperlink"/>
            <w:rFonts w:ascii="Times New Roman" w:hAnsi="Times New Roman"/>
            <w:b w:val="false"/>
            <w:i w:val="false"/>
            <w:color w:val="000000"/>
            <w:sz w:val="24"/>
          </w:rPr>
          <w:t>15.505(3)</w:t>
        </w:r>
      </w:hyperlink>
      <w:r>
        <w:rPr>
          <w:rFonts w:ascii="Times New Roman" w:hAnsi="Times New Roman"/>
          <w:b w:val="false"/>
          <w:i/>
          <w:color w:val="000000"/>
          <w:sz w:val="24"/>
        </w:rPr>
        <w:t>“a”</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Whether the project demonstrates extensive economic impact is within the sole discretion of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69.4(5)</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considerations in subrules </w:t>
      </w:r>
      <w:hyperlink r:id="rId49">
        <w:r>
          <w:rPr>
            <w:rStyle w:val="Hyperlink"/>
            <w:rFonts w:ascii="Times New Roman" w:hAnsi="Times New Roman"/>
            <w:b w:val="false"/>
            <w:i w:val="false"/>
            <w:color w:val="000000"/>
            <w:sz w:val="24"/>
          </w:rPr>
          <w:t>69.4(1)</w:t>
        </w:r>
      </w:hyperlink>
      <w:r>
        <w:rPr>
          <w:rFonts w:ascii="Times New Roman" w:hAnsi="Times New Roman"/>
          <w:b w:val="false"/>
          <w:i w:val="false"/>
          <w:color w:val="000000"/>
          <w:sz w:val="24"/>
        </w:rPr>
        <w:t xml:space="preserve"> through </w:t>
      </w:r>
      <w:hyperlink r:id="rId50">
        <w:r>
          <w:rPr>
            <w:rStyle w:val="Hyperlink"/>
            <w:rFonts w:ascii="Times New Roman" w:hAnsi="Times New Roman"/>
            <w:b w:val="false"/>
            <w:i w:val="false"/>
            <w:color w:val="000000"/>
            <w:sz w:val="24"/>
          </w:rPr>
          <w:t>69.4(4)</w:t>
        </w:r>
      </w:hyperlink>
      <w:r>
        <w:rPr>
          <w:rFonts w:ascii="Times New Roman" w:hAnsi="Times New Roman"/>
          <w:b w:val="false"/>
          <w:i w:val="false"/>
          <w:color w:val="000000"/>
          <w:sz w:val="24"/>
        </w:rPr>
        <w:t xml:space="preserve">, award negotiations may be impacted by the available amount of investment tax credits allocated pursuant to Iowa Code section </w:t>
      </w:r>
      <w:hyperlink r:id="rId51">
        <w:r>
          <w:rPr>
            <w:rStyle w:val="Hyperlink"/>
            <w:rFonts w:ascii="Times New Roman" w:hAnsi="Times New Roman"/>
            <w:b w:val="false"/>
            <w:i w:val="false"/>
            <w:color w:val="000000"/>
            <w:sz w:val="24"/>
          </w:rPr>
          <w:t>15.119(2)</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or the amount of financial assistance available pursuant to Iowa Code section </w:t>
      </w:r>
      <w:hyperlink r:id="rId52">
        <w:r>
          <w:rPr>
            <w:rStyle w:val="Hyperlink"/>
            <w:rFonts w:ascii="Times New Roman" w:hAnsi="Times New Roman"/>
            <w:b w:val="false"/>
            <w:i w:val="false"/>
            <w:color w:val="000000"/>
            <w:sz w:val="24"/>
          </w:rPr>
          <w:t>15.111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i w:val="false"/>
          <w:color w:val="000000"/>
          <w:sz w:val="24"/>
        </w:rPr>
        <w:t>261—69.5</w:t>
      </w:r>
      <w:r>
        <w:rPr>
          <w:rFonts w:ascii="Times New Roman" w:hAnsi="Times New Roman"/>
          <w:b/>
          <w:i w:val="false"/>
          <w:color w:val="000000"/>
          <w:sz w:val="24"/>
        </w:rPr>
        <w:t xml:space="preserve">(15) </w:t>
      </w:r>
      <w:r>
        <w:rPr>
          <w:rFonts w:ascii="Times New Roman" w:hAnsi="Times New Roman"/>
          <w:b/>
          <w:i w:val="false"/>
          <w:color w:val="000000"/>
          <w:sz w:val="24"/>
        </w:rPr>
        <w:t xml:space="preserve">Tax incentives. </w:t>
      </w:r>
      <w:r>
        <w:rPr>
          <w:rFonts w:ascii="Times New Roman" w:hAnsi="Times New Roman"/>
          <w:b w:val="false"/>
          <w:i w:val="false"/>
          <w:color w:val="000000"/>
          <w:sz w:val="24"/>
        </w:rPr>
        <w:t xml:space="preserve">The authority may approve a business to receive any combination of applicable tax incentives allowed through the program pursuant to Iowa Code section </w:t>
      </w:r>
      <w:hyperlink r:id="rId53">
        <w:r>
          <w:rPr>
            <w:rStyle w:val="Hyperlink"/>
            <w:rFonts w:ascii="Times New Roman" w:hAnsi="Times New Roman"/>
            <w:b w:val="false"/>
            <w:i w:val="false"/>
            <w:color w:val="000000"/>
            <w:sz w:val="24"/>
          </w:rPr>
          <w:t>15.507</w:t>
        </w:r>
      </w:hyperlink>
      <w:r>
        <w:rPr>
          <w:rFonts w:ascii="Times New Roman" w:hAnsi="Times New Roman"/>
          <w:b w:val="false"/>
          <w:i w:val="false"/>
          <w:color w:val="000000"/>
          <w:sz w:val="24"/>
        </w:rPr>
        <w:t xml:space="preserve"> or </w:t>
      </w:r>
      <w:hyperlink r:id="rId54">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An approved business shall not claim a tax incentive in excess of the amount specified in an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69.5(1)</w:t>
      </w:r>
      <w:r>
        <w:rPr>
          <w:rFonts w:ascii="Times New Roman" w:hAnsi="Times New Roman"/>
          <w:b w:val="false"/>
          <w:i w:val="false"/>
          <w:color w:val="000000"/>
          <w:sz w:val="24"/>
        </w:rPr>
        <w:t> </w:t>
      </w:r>
      <w:r>
        <w:rPr>
          <w:rFonts w:ascii="Times New Roman" w:hAnsi="Times New Roman"/>
          <w:b w:val="false"/>
          <w:i/>
          <w:color w:val="000000"/>
          <w:sz w:val="24"/>
        </w:rPr>
        <w:t xml:space="preserve">Property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only approve a property tax exemption pursuant to Iowa Code section </w:t>
      </w:r>
      <w:hyperlink r:id="rId55">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if other tax incentives or financial assistance through the program are also approved.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community approves an exemption from taxation pursuant to Iowa Code section </w:t>
      </w:r>
      <w:hyperlink r:id="rId56">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community shall provide the authority and the local assessor with a copy of the resolution adopted by the community’s governing body that indicates the estimated value and duration of the authorized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69.5(2)</w:t>
      </w:r>
      <w:r>
        <w:rPr>
          <w:rFonts w:ascii="Times New Roman" w:hAnsi="Times New Roman"/>
          <w:b w:val="false"/>
          <w:i w:val="false"/>
          <w:color w:val="000000"/>
          <w:sz w:val="24"/>
        </w:rPr>
        <w:t> </w:t>
      </w:r>
      <w:r>
        <w:rPr>
          <w:rFonts w:ascii="Times New Roman" w:hAnsi="Times New Roman"/>
          <w:b w:val="false"/>
          <w:i/>
          <w:color w:val="000000"/>
          <w:sz w:val="24"/>
        </w:rPr>
        <w:t xml:space="preserve">Investment tax credit—treatment of rent. </w:t>
      </w:r>
      <w:r>
        <w:rPr>
          <w:rFonts w:ascii="Times New Roman" w:hAnsi="Times New Roman"/>
          <w:b w:val="false"/>
          <w:i w:val="false"/>
          <w:color w:val="000000"/>
          <w:sz w:val="24"/>
        </w:rPr>
        <w:t xml:space="preserve">The annual base rent paid to a third-party developer by an approved business may be considered new investment for the purpose of an investment tax credit approved pursuant to Iowa Code section </w:t>
      </w:r>
      <w:hyperlink r:id="rId57">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Annual base rent incurred during the term of an agreement may be included as new investment. For the purposes of this subrule, “annual base rent” means the business’s annual lease payment minus taxes, insurance and operating or maintenance expenses.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69.5(3)</w:t>
      </w:r>
      <w:r>
        <w:rPr>
          <w:rFonts w:ascii="Times New Roman" w:hAnsi="Times New Roman"/>
          <w:b w:val="false"/>
          <w:i w:val="false"/>
          <w:color w:val="000000"/>
          <w:sz w:val="24"/>
        </w:rPr>
        <w:t> </w:t>
      </w:r>
      <w:r>
        <w:rPr>
          <w:rFonts w:ascii="Times New Roman" w:hAnsi="Times New Roman"/>
          <w:b w:val="false"/>
          <w:i/>
          <w:color w:val="000000"/>
          <w:sz w:val="24"/>
        </w:rPr>
        <w:t xml:space="preserve">Investment tax credit—issuance, amortization and claims. </w:t>
      </w:r>
      <w:r>
        <w:rPr>
          <w:rFonts w:ascii="Times New Roman" w:hAnsi="Times New Roman"/>
          <w:b w:val="false"/>
          <w:i w:val="false"/>
          <w:color w:val="000000"/>
          <w:sz w:val="24"/>
        </w:rPr>
        <w:t xml:space="preserve">The business must notify the authority that its project has been placed in service and document its total project cost, including its qualifying investment, to receive a tax credit certificate. A business shall not receive a tax credit certificate following the placement of a portion of its project in service unless such portion is approved by the authority at the time of application and specified in the agreement. The five-year amortization of a qualifying investment tax credit issued pursuant to Iowa Code section </w:t>
      </w:r>
      <w:hyperlink r:id="rId58">
        <w:r>
          <w:rPr>
            <w:rStyle w:val="Hyperlink"/>
            <w:rFonts w:ascii="Times New Roman" w:hAnsi="Times New Roman"/>
            <w:b w:val="false"/>
            <w:i w:val="false"/>
            <w:color w:val="000000"/>
            <w:sz w:val="24"/>
          </w:rPr>
          <w:t>15.508</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shall begin no earlier than the year the credit is issued. Each amortized portion of the credit shall be claimed in the tax year it becomes available except to the extent an overpayment is credited to the immediately succeeding tax year.</w:t>
      </w:r>
    </w:p>
    <w:p>
      <w:pPr>
        <w:spacing w:before="210" w:after="0" w:line="480"/>
        <w:ind w:left="120"/>
        <w:jc w:val="both"/>
      </w:pPr>
      <w:r>
        <w:rPr>
          <w:rFonts w:ascii="Times New Roman" w:hAnsi="Times New Roman"/>
          <w:b/>
          <w:i w:val="false"/>
          <w:color w:val="000000"/>
          <w:sz w:val="24"/>
        </w:rPr>
        <w:t>261—69.6</w:t>
      </w:r>
      <w:r>
        <w:rPr>
          <w:rFonts w:ascii="Times New Roman" w:hAnsi="Times New Roman"/>
          <w:b/>
          <w:i w:val="false"/>
          <w:color w:val="000000"/>
          <w:sz w:val="24"/>
        </w:rPr>
        <w:t xml:space="preserve">(15) </w:t>
      </w:r>
      <w:r>
        <w:rPr>
          <w:rFonts w:ascii="Times New Roman" w:hAnsi="Times New Roman"/>
          <w:b/>
          <w:i w:val="false"/>
          <w:color w:val="000000"/>
          <w:sz w:val="24"/>
        </w:rPr>
        <w:t xml:space="preserve">Financial assistance. </w:t>
      </w:r>
      <w:r>
        <w:rPr>
          <w:rFonts w:ascii="Times New Roman" w:hAnsi="Times New Roman"/>
          <w:b w:val="false"/>
          <w:i w:val="false"/>
          <w:color w:val="000000"/>
          <w:sz w:val="24"/>
        </w:rPr>
        <w:t xml:space="preserve">The authority may award financial assistance pursuant to Iowa Code sections </w:t>
      </w:r>
      <w:hyperlink r:id="rId59">
        <w:r>
          <w:rPr>
            <w:rStyle w:val="Hyperlink"/>
            <w:rFonts w:ascii="Times New Roman" w:hAnsi="Times New Roman"/>
            <w:b w:val="false"/>
            <w:i w:val="false"/>
            <w:color w:val="000000"/>
            <w:sz w:val="24"/>
          </w:rPr>
          <w:t>15.111</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15.511</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Awards of financial assistance shall be entirely at the discretion of the board.</w:t>
      </w:r>
    </w:p>
    <w:p>
      <w:pPr>
        <w:spacing w:before="0" w:after="0" w:line="480"/>
        <w:ind w:left="120"/>
        <w:jc w:val="both"/>
      </w:pPr>
      <w:r>
        <w:rPr>
          <w:rFonts w:ascii="Times New Roman" w:hAnsi="Times New Roman"/>
          <w:b/>
          <w:i w:val="false"/>
          <w:color w:val="000000"/>
          <w:sz w:val="24"/>
        </w:rPr>
        <w:t>261—69.7</w:t>
      </w:r>
      <w:r>
        <w:rPr>
          <w:rFonts w:ascii="Times New Roman" w:hAnsi="Times New Roman"/>
          <w:b/>
          <w:i w:val="false"/>
          <w:color w:val="000000"/>
          <w:sz w:val="24"/>
        </w:rPr>
        <w:t xml:space="preserve">(15) </w:t>
      </w:r>
      <w:r>
        <w:rPr>
          <w:rFonts w:ascii="Times New Roman" w:hAnsi="Times New Roman"/>
          <w:b/>
          <w:i w:val="false"/>
          <w:color w:val="000000"/>
          <w:sz w:val="24"/>
        </w:rPr>
        <w:t xml:space="preserve">Agreements and compliance.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69.7(1)</w:t>
      </w:r>
      <w:r>
        <w:rPr>
          <w:rFonts w:ascii="Times New Roman" w:hAnsi="Times New Roman"/>
          <w:b w:val="false"/>
          <w:i w:val="false"/>
          <w:color w:val="000000"/>
          <w:sz w:val="24"/>
        </w:rPr>
        <w:t> </w:t>
      </w:r>
      <w:r>
        <w:rPr>
          <w:rFonts w:ascii="Times New Roman" w:hAnsi="Times New Roman"/>
          <w:b w:val="false"/>
          <w:i/>
          <w:color w:val="000000"/>
          <w:sz w:val="24"/>
        </w:rPr>
        <w:t xml:space="preserve">Execution. </w:t>
      </w:r>
      <w:r>
        <w:rPr>
          <w:rFonts w:ascii="Times New Roman" w:hAnsi="Times New Roman"/>
          <w:b w:val="false"/>
          <w:i w:val="false"/>
          <w:color w:val="000000"/>
          <w:sz w:val="24"/>
        </w:rPr>
        <w:t>Successful applicants will be required to execute an agreement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69.7(2)</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r>
        <w:rPr>
          <w:rFonts w:ascii="Times New Roman" w:hAnsi="Times New Roman"/>
          <w:b w:val="false"/>
          <w:i w:val="false"/>
          <w:color w:val="000000"/>
          <w:sz w:val="24"/>
        </w:rPr>
        <w:t xml:space="preserve">An agreement shall meet all requirements of and be administered pursuant to Iowa Code section </w:t>
      </w:r>
      <w:hyperlink r:id="rId61">
        <w:r>
          <w:rPr>
            <w:rStyle w:val="Hyperlink"/>
            <w:rFonts w:ascii="Times New Roman" w:hAnsi="Times New Roman"/>
            <w:b w:val="false"/>
            <w:i w:val="false"/>
            <w:color w:val="000000"/>
            <w:sz w:val="24"/>
          </w:rPr>
          <w:t>15.506</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69.7(3)</w:t>
      </w:r>
      <w:r>
        <w:rPr>
          <w:rFonts w:ascii="Times New Roman" w:hAnsi="Times New Roman"/>
          <w:b w:val="false"/>
          <w:i w:val="false"/>
          <w:color w:val="000000"/>
          <w:sz w:val="24"/>
        </w:rPr>
        <w:t> </w:t>
      </w:r>
      <w:r>
        <w:rPr>
          <w:rFonts w:ascii="Times New Roman" w:hAnsi="Times New Roman"/>
          <w:b w:val="false"/>
          <w:i/>
          <w:color w:val="000000"/>
          <w:sz w:val="24"/>
        </w:rPr>
        <w:t xml:space="preserve">Jobs. </w:t>
      </w:r>
      <w:r>
        <w:rPr>
          <w:rFonts w:ascii="Times New Roman" w:hAnsi="Times New Roman"/>
          <w:b w:val="false"/>
          <w:i w:val="false"/>
          <w:color w:val="000000"/>
          <w:sz w:val="24"/>
        </w:rPr>
        <w:t xml:space="preserve">If applicable, an agreement will specify the number of jobs the business has pledged to create in addition to the base employment level and the number of retained jobs. An agreement may specify that a business has pledged additional jobs or pledged wage requirements greater than the qualifying wage threshold as a condition to receipt of an award or receipt of a specific amount or form of tax incentives or financial assistance. Job obligations will be established and monitored pursuant to rule </w:t>
      </w:r>
      <w:hyperlink r:id="rId62">
        <w:r>
          <w:rPr>
            <w:rStyle w:val="Hyperlink"/>
            <w:rFonts w:ascii="Times New Roman" w:hAnsi="Times New Roman"/>
            <w:b w:val="false"/>
            <w:i w:val="false"/>
            <w:color w:val="000000"/>
            <w:sz w:val="24"/>
          </w:rPr>
          <w:t>261—69.8</w:t>
        </w:r>
      </w:hyperlink>
      <w:r>
        <w:rPr>
          <w:rFonts w:ascii="Times New Roman" w:hAnsi="Times New Roman"/>
          <w:b w:val="false"/>
          <w:i w:val="false"/>
          <w:color w:val="000000"/>
          <w:sz w:val="24"/>
        </w:rPr>
        <w:t>(15).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69.7(4)</w:t>
      </w:r>
      <w:r>
        <w:rPr>
          <w:rFonts w:ascii="Times New Roman" w:hAnsi="Times New Roman"/>
          <w:b w:val="false"/>
          <w:i w:val="false"/>
          <w:color w:val="000000"/>
          <w:sz w:val="24"/>
        </w:rPr>
        <w:t> </w:t>
      </w:r>
      <w:r>
        <w:rPr>
          <w:rFonts w:ascii="Times New Roman" w:hAnsi="Times New Roman"/>
          <w:b w:val="false"/>
          <w:i/>
          <w:color w:val="000000"/>
          <w:sz w:val="24"/>
        </w:rPr>
        <w:t xml:space="preserve">Investment. </w:t>
      </w:r>
      <w:r>
        <w:rPr>
          <w:rFonts w:ascii="Times New Roman" w:hAnsi="Times New Roman"/>
          <w:b w:val="false"/>
          <w:i w:val="false"/>
          <w:color w:val="000000"/>
          <w:sz w:val="24"/>
        </w:rPr>
        <w:t>An agreement will describe the project and specify the total project cost and qualifying investment the business proposes to make. The agreement will describe the actions to be taken by the business when its investment is placed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69.7(5)</w:t>
      </w:r>
      <w:r>
        <w:rPr>
          <w:rFonts w:ascii="Times New Roman" w:hAnsi="Times New Roman"/>
          <w:b w:val="false"/>
          <w:i w:val="false"/>
          <w:color w:val="000000"/>
          <w:sz w:val="24"/>
        </w:rPr>
        <w:t> </w:t>
      </w:r>
      <w:r>
        <w:rPr>
          <w:rFonts w:ascii="Times New Roman" w:hAnsi="Times New Roman"/>
          <w:b w:val="false"/>
          <w:i/>
          <w:color w:val="000000"/>
          <w:sz w:val="24"/>
        </w:rPr>
        <w:t xml:space="preserve">Project completion date. </w:t>
      </w:r>
      <w:r>
        <w:rPr>
          <w:rFonts w:ascii="Times New Roman" w:hAnsi="Times New Roman"/>
          <w:b w:val="false"/>
          <w:i w:val="false"/>
          <w:color w:val="000000"/>
          <w:sz w:val="24"/>
        </w:rPr>
        <w:t>An agreement will specify the project completion date and the applicable requirements that must be met by the project completion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69.7(6)</w:t>
      </w:r>
      <w:r>
        <w:rPr>
          <w:rFonts w:ascii="Times New Roman" w:hAnsi="Times New Roman"/>
          <w:b w:val="false"/>
          <w:i w:val="false"/>
          <w:color w:val="000000"/>
          <w:sz w:val="24"/>
        </w:rPr>
        <w:t> </w:t>
      </w:r>
      <w:r>
        <w:rPr>
          <w:rFonts w:ascii="Times New Roman" w:hAnsi="Times New Roman"/>
          <w:b w:val="false"/>
          <w:i/>
          <w:color w:val="000000"/>
          <w:sz w:val="24"/>
        </w:rPr>
        <w:t xml:space="preserve">Contract end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authority will establish a contract end date based on the date the business is expected to have claimed all tax incentives and satisfied any repayment obligations for financial assistance. The contract end date may be earlier than the date specified in an agreement based on actual claims of tax incentives and satisfaction of any job, investment, or repayment obligations. The agreement will specify the applicable requirements that must be met by the contract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agreement length will be at least two years.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agreement may be terminated prior to the contract end date by mutual agreement of the parties. The amount of tax incentives or financial assistance available may be reduced as described in the agreement if the agreement is terminated prior to the contract end date.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69.7(7)</w:t>
      </w:r>
      <w:r>
        <w:rPr>
          <w:rFonts w:ascii="Times New Roman" w:hAnsi="Times New Roman"/>
          <w:b w:val="false"/>
          <w:i w:val="false"/>
          <w:color w:val="000000"/>
          <w:sz w:val="24"/>
        </w:rPr>
        <w:t> </w:t>
      </w:r>
      <w:r>
        <w:rPr>
          <w:rFonts w:ascii="Times New Roman" w:hAnsi="Times New Roman"/>
          <w:b w:val="false"/>
          <w:i/>
          <w:color w:val="000000"/>
          <w:sz w:val="24"/>
        </w:rPr>
        <w:t xml:space="preserve">Conditions to disbursement. </w:t>
      </w:r>
      <w:r>
        <w:rPr>
          <w:rFonts w:ascii="Times New Roman" w:hAnsi="Times New Roman"/>
          <w:b w:val="false"/>
          <w:i w:val="false"/>
          <w:color w:val="000000"/>
          <w:sz w:val="24"/>
        </w:rPr>
        <w:t xml:space="preserve">An agreement will specify the conditions to disbursement of financial assistance or issuance of tax incentives, including but not limited to compliance with the requirements of Iowa Code section </w:t>
      </w:r>
      <w:hyperlink r:id="rId63">
        <w:r>
          <w:rPr>
            <w:rStyle w:val="Hyperlink"/>
            <w:rFonts w:ascii="Times New Roman" w:hAnsi="Times New Roman"/>
            <w:b w:val="false"/>
            <w:i w:val="false"/>
            <w:color w:val="000000"/>
            <w:sz w:val="24"/>
          </w:rPr>
          <w:t>15A.1(3)</w:t>
        </w:r>
      </w:hyperlink>
      <w:r>
        <w:rPr>
          <w:rFonts w:ascii="Times New Roman" w:hAnsi="Times New Roman"/>
          <w:b w:val="false"/>
          <w:i/>
          <w:color w:val="000000"/>
          <w:sz w:val="24"/>
        </w:rPr>
        <w:t>“b”</w:t>
      </w:r>
      <w:r>
        <w:rPr>
          <w:rFonts w:ascii="Times New Roman" w:hAnsi="Times New Roman"/>
          <w:b w:val="false"/>
          <w:i w:val="false"/>
          <w:color w:val="000000"/>
          <w:sz w:val="24"/>
        </w:rPr>
        <w:t xml:space="preserve"> regarding solid and hazardous waste.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69.7(8)</w:t>
      </w:r>
      <w:r>
        <w:rPr>
          <w:rFonts w:ascii="Times New Roman" w:hAnsi="Times New Roman"/>
          <w:b w:val="false"/>
          <w:i w:val="false"/>
          <w:color w:val="000000"/>
          <w:sz w:val="24"/>
        </w:rPr>
        <w:t> </w:t>
      </w:r>
      <w:r>
        <w:rPr>
          <w:rFonts w:ascii="Times New Roman" w:hAnsi="Times New Roman"/>
          <w:b w:val="false"/>
          <w:i/>
          <w:color w:val="000000"/>
          <w:sz w:val="24"/>
        </w:rPr>
        <w:t xml:space="preserve">Monitoring and reports. </w:t>
      </w:r>
      <w:r>
        <w:rPr>
          <w:rFonts w:ascii="Times New Roman" w:hAnsi="Times New Roman"/>
          <w:b w:val="false"/>
          <w:i w:val="false"/>
          <w:color w:val="000000"/>
          <w:sz w:val="24"/>
        </w:rPr>
        <w:t>The authority shall ensure that program recipients comply with agreements. An agreement will specify the reports a program recipient must submit to the authority and due dates for such reports. Reports shall be provided in the form and content acceptable to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Recipients shall report annually to the authority about the status of the project, including but not limited to employment, wages, benefits, project costs, investment, and compliance with the agreement. The authority will use the data it collects in the authority’s annual report to the general assembly pursuant to Iowa Code section </w:t>
      </w:r>
      <w:hyperlink r:id="rId64">
        <w:r>
          <w:rPr>
            <w:rStyle w:val="Hyperlink"/>
            <w:rFonts w:ascii="Times New Roman" w:hAnsi="Times New Roman"/>
            <w:b w:val="false"/>
            <w:i w:val="false"/>
            <w:color w:val="000000"/>
            <w:sz w:val="24"/>
          </w:rPr>
          <w:t>15.107B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Recipients shall submit a report to the authority to document that the project investment and job obligations have been completed as proposed and prior to the contract end date to verify compliance with the agreement.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On-site or remote monitoring may be conducted during the agreement term as deemed appropriate by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69.7(9)</w:t>
      </w:r>
      <w:r>
        <w:rPr>
          <w:rFonts w:ascii="Times New Roman" w:hAnsi="Times New Roman"/>
          <w:b w:val="false"/>
          <w:i w:val="false"/>
          <w:color w:val="000000"/>
          <w:sz w:val="24"/>
        </w:rPr>
        <w:t> </w:t>
      </w:r>
      <w:r>
        <w:rPr>
          <w:rFonts w:ascii="Times New Roman" w:hAnsi="Times New Roman"/>
          <w:b w:val="false"/>
          <w:i/>
          <w:color w:val="000000"/>
          <w:sz w:val="24"/>
        </w:rPr>
        <w:t xml:space="preserve">Default. </w:t>
      </w:r>
      <w:r>
        <w:rPr>
          <w:rFonts w:ascii="Times New Roman" w:hAnsi="Times New Roman"/>
          <w:b w:val="false"/>
          <w:i w:val="false"/>
          <w:color w:val="000000"/>
          <w:sz w:val="24"/>
        </w:rPr>
        <w:t xml:space="preserve">An agreement will specify events of default and the remedies available to the authority.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Financial assistance. </w:t>
      </w:r>
      <w:r>
        <w:rPr>
          <w:rFonts w:ascii="Times New Roman" w:hAnsi="Times New Roman"/>
          <w:b w:val="false"/>
          <w:i w:val="false"/>
          <w:color w:val="000000"/>
          <w:sz w:val="24"/>
        </w:rPr>
        <w:t>If the authority determines that a recipient is in default, the authority may seek recovery of all financial assistance funds plus interest; assess penalties; negotiate alternative repayment schedules; initiate, suspend or discontinue collection efforts; and take other appropriate action as the board deems necessary. Negotiated settlements, write-offs or discontinuance of collection efforts are subject to approval by the board. If the authority or board refers defaulted agreements to outside counsel for collection, then the terms of the agreement between the authority and the outside counsel regarding the scope of counsel’s authorization to accept settlements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Tax incentives. </w:t>
      </w:r>
      <w:r>
        <w:rPr>
          <w:rFonts w:ascii="Times New Roman" w:hAnsi="Times New Roman"/>
          <w:b w:val="false"/>
          <w:i w:val="false"/>
          <w:color w:val="000000"/>
          <w:sz w:val="24"/>
        </w:rPr>
        <w:t xml:space="preserve">If the authority determines that a recipient is in default, the eligible business may be required to repay tax incentives pursuant to Iowa Code section </w:t>
      </w:r>
      <w:hyperlink r:id="rId65">
        <w:r>
          <w:rPr>
            <w:rStyle w:val="Hyperlink"/>
            <w:rFonts w:ascii="Times New Roman" w:hAnsi="Times New Roman"/>
            <w:b w:val="false"/>
            <w:i w:val="false"/>
            <w:color w:val="000000"/>
            <w:sz w:val="24"/>
          </w:rPr>
          <w:t>15.506(1)</w:t>
        </w:r>
      </w:hyperlink>
      <w:r>
        <w:rPr>
          <w:rFonts w:ascii="Times New Roman" w:hAnsi="Times New Roman"/>
          <w:b w:val="false"/>
          <w:i/>
          <w:color w:val="000000"/>
          <w:sz w:val="24"/>
        </w:rPr>
        <w:t>“b”</w:t>
      </w:r>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repayment amount is subject to applicable interest and penalties as determined by the department of revenue. If the business is an entity that has elected pass-through taxation status for income tax purposes, the department of revenue may undertake collection efforts against members, individuals or shareholders to whom the tax incentives were passed through.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Calculation of repayment due or reduction.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Job shortfall. If a business does not meet its job requirements, the repayment amount or reduction of tax incentives or financial assistance shall be the same proportion as the amount of the job shortfall. For example, if the business creates 50 percent of the jobs required, the business shall repay 50 percent of the tax incentives or financial assistance received, or tax incentives or financial assistance will be reduced by 50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Investment shortfall. If a business does not meet the requirements for total project cost or qualifying investment, the repayment amount or reduction of tax incentives or financial assistance shall be the same proportion as the amount of the shortfall in applicable required investment. For example, if the business meets 75 percent of the amount of required qualifying investment, the business shall repay 25 percent of the amount of the tax incentives or financial assistance received, or tax incentives or financial assistance will be reduced by 25 percent. If a business has a shortfall in both total project cost and qualifying investment, the repayment amount or reduction shall be the same proportion as the greater of the two shortfalls.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Job and investment shortfalls. If a business has a shortfall in both investment and job requirements, the repayment amount or reduction shall be the same proportion as the greater of the two shortfalls. For example, if a business creates 50 percent of the required jobs and meets 75 percent of the required qualifying investment, the business shall be required to repay 50 percent of the amount of the tax incentives or financial assistance received, or tax incentives or financial assistance will be reduced by 50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Benefits. Notwithstanding any other provision in this subrule, if a business fails to comply with the benefit requirements of the agreement, the business shall be required to repay all of the tax incentives or financial assistance received, or tax incentives or financial assistance will be fully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Minimum eligibility. Notwithstanding any other provision in this subrule, if a business fails to maintain eligibility for the program, the business shall repay all of the tax incentives or financial assistance received, or tax incentives or financial assistance will be fully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Notice of default. </w:t>
      </w:r>
      <w:r>
        <w:rPr>
          <w:rFonts w:ascii="Times New Roman" w:hAnsi="Times New Roman"/>
          <w:b w:val="false"/>
          <w:i w:val="false"/>
          <w:color w:val="000000"/>
          <w:sz w:val="24"/>
        </w:rPr>
        <w:t xml:space="preserve">The authority will notify a business of an event of default as described in the agreement. If the community in which the project is located provided a property tax exemption pursuant to Iowa Code section </w:t>
      </w:r>
      <w:hyperlink r:id="rId66">
        <w:r>
          <w:rPr>
            <w:rStyle w:val="Hyperlink"/>
            <w:rFonts w:ascii="Times New Roman" w:hAnsi="Times New Roman"/>
            <w:b w:val="false"/>
            <w:i w:val="false"/>
            <w:color w:val="000000"/>
            <w:sz w:val="24"/>
          </w:rPr>
          <w:t>15.510</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the authority will also notify the community of an event of default as described in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69.7(10)</w:t>
      </w:r>
      <w:r>
        <w:rPr>
          <w:rFonts w:ascii="Times New Roman" w:hAnsi="Times New Roman"/>
          <w:b w:val="false"/>
          <w:i w:val="false"/>
          <w:color w:val="000000"/>
          <w:sz w:val="24"/>
        </w:rPr>
        <w:t> </w:t>
      </w:r>
      <w:r>
        <w:rPr>
          <w:rFonts w:ascii="Times New Roman" w:hAnsi="Times New Roman"/>
          <w:b w:val="false"/>
          <w:i/>
          <w:color w:val="000000"/>
          <w:sz w:val="24"/>
        </w:rPr>
        <w:t xml:space="preserve">Amendments. </w:t>
      </w:r>
      <w:r>
        <w:rPr>
          <w:rFonts w:ascii="Times New Roman" w:hAnsi="Times New Roman"/>
          <w:b w:val="false"/>
          <w:i w:val="false"/>
          <w:color w:val="000000"/>
          <w:sz w:val="24"/>
        </w:rPr>
        <w:t xml:space="preserve">Agreement amendments must comply with Iowa Code chapter </w:t>
      </w:r>
      <w:hyperlink r:id="rId67">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33,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and this chapter. Recipients may submit requests for amendments to authority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68">
        <w:r>
          <w:rPr>
            <w:rStyle w:val="Hyperlink"/>
            <w:rFonts w:ascii="Times New Roman" w:hAnsi="Times New Roman"/>
            <w:b w:val="false"/>
            <w:i w:val="false"/>
            <w:color w:val="000000"/>
            <w:sz w:val="24"/>
          </w:rPr>
          <w:t>69.7(10)</w:t>
        </w:r>
      </w:hyperlink>
      <w:r>
        <w:rPr>
          <w:rFonts w:ascii="Times New Roman" w:hAnsi="Times New Roman"/>
          <w:b w:val="false"/>
          <w:i/>
          <w:color w:val="000000"/>
          <w:sz w:val="24"/>
        </w:rPr>
        <w:t>“b,”</w:t>
      </w:r>
      <w:r>
        <w:rPr>
          <w:rFonts w:ascii="Times New Roman" w:hAnsi="Times New Roman"/>
          <w:b w:val="false"/>
          <w:i w:val="false"/>
          <w:color w:val="000000"/>
          <w:sz w:val="24"/>
        </w:rPr>
        <w:t xml:space="preserve"> no request to amend an agreement may be approved unless it has been reviewed by the due diligence committee established pursuant to </w:t>
      </w:r>
      <w:hyperlink r:id="rId69">
        <w:r>
          <w:rPr>
            <w:rStyle w:val="Hyperlink"/>
            <w:rFonts w:ascii="Times New Roman" w:hAnsi="Times New Roman"/>
            <w:b w:val="false"/>
            <w:i w:val="false"/>
            <w:color w:val="000000"/>
            <w:sz w:val="24"/>
          </w:rPr>
          <w:t>261—Chapter 1</w:t>
        </w:r>
      </w:hyperlink>
      <w:r>
        <w:rPr>
          <w:rFonts w:ascii="Times New Roman" w:hAnsi="Times New Roman"/>
          <w:b w:val="false"/>
          <w:i w:val="false"/>
          <w:color w:val="000000"/>
          <w:sz w:val="24"/>
        </w:rPr>
        <w:t>, the due diligence committee has recommended approving the request to amend the agreement and the board approves the request to amend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board may delegate authority to authority staff to approve nonsubstantive changes to the agreement, including but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Recipient name, address and similar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Collateral changes that do not materially and substantially impact the authority’s security.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Line-item budget changes that do not reduce overall total project costs or qualifying investment.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Loan repayment amounts or due dates that do not extend the final due date of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Changes to tax credit amortization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Extension of a project completion date or contract end date of up to 12 months.</w:t>
      </w:r>
    </w:p>
    <w:p>
      <w:pPr>
        <w:spacing w:before="0" w:after="0" w:line="480"/>
        <w:ind w:left="120"/>
        <w:jc w:val="both"/>
      </w:pPr>
      <w:r>
        <w:rPr>
          <w:rFonts w:ascii="Times New Roman" w:hAnsi="Times New Roman"/>
          <w:b/>
          <w:i w:val="false"/>
          <w:color w:val="000000"/>
          <w:sz w:val="24"/>
        </w:rPr>
        <w:t>261—69.8</w:t>
      </w:r>
      <w:r>
        <w:rPr>
          <w:rFonts w:ascii="Times New Roman" w:hAnsi="Times New Roman"/>
          <w:b/>
          <w:i w:val="false"/>
          <w:color w:val="000000"/>
          <w:sz w:val="24"/>
        </w:rPr>
        <w:t xml:space="preserve">(15) </w:t>
      </w:r>
      <w:r>
        <w:rPr>
          <w:rFonts w:ascii="Times New Roman" w:hAnsi="Times New Roman"/>
          <w:b/>
          <w:i w:val="false"/>
          <w:color w:val="000000"/>
          <w:sz w:val="24"/>
        </w:rPr>
        <w:t xml:space="preserve">Job counting.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69.8(1)</w:t>
      </w:r>
      <w:r>
        <w:rPr>
          <w:rFonts w:ascii="Times New Roman" w:hAnsi="Times New Roman"/>
          <w:b w:val="false"/>
          <w:i w:val="false"/>
          <w:color w:val="000000"/>
          <w:sz w:val="24"/>
        </w:rPr>
        <w:t> </w:t>
      </w:r>
      <w:r>
        <w:rPr>
          <w:rFonts w:ascii="Times New Roman" w:hAnsi="Times New Roman"/>
          <w:b w:val="false"/>
          <w:i/>
          <w:color w:val="000000"/>
          <w:sz w:val="24"/>
        </w:rPr>
        <w:t xml:space="preserve">Overview. </w:t>
      </w:r>
      <w:r>
        <w:rPr>
          <w:rFonts w:ascii="Times New Roman" w:hAnsi="Times New Roman"/>
          <w:b w:val="false"/>
          <w:i w:val="false"/>
          <w:color w:val="000000"/>
          <w:sz w:val="24"/>
        </w:rPr>
        <w:t>The authority will count created and retained jobs using a base employment analysis comparing the base employment level to employment on another date. The business’s base employment level will be established at the time of application for the program. The number of jobs the business has pledged to create shall be in addition to the base employment level. Retained jobs may be included in the base employment level as established at the time of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69.8(2)</w:t>
      </w:r>
      <w:r>
        <w:rPr>
          <w:rFonts w:ascii="Times New Roman" w:hAnsi="Times New Roman"/>
          <w:b w:val="false"/>
          <w:i w:val="false"/>
          <w:color w:val="000000"/>
          <w:sz w:val="24"/>
        </w:rPr>
        <w:t> </w:t>
      </w:r>
      <w:r>
        <w:rPr>
          <w:rFonts w:ascii="Times New Roman" w:hAnsi="Times New Roman"/>
          <w:b w:val="false"/>
          <w:i/>
          <w:color w:val="000000"/>
          <w:sz w:val="24"/>
        </w:rPr>
        <w:t xml:space="preserve">Base employment level.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that are based in this state but are not based at the project 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 business receives multiple awards for projects at the same location, including through the program or through the high quality jobs program administered pursuant to Iowa Code chapter </w:t>
      </w:r>
      <w:hyperlink r:id="rId70">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II, part 13, the base employment level will be calculated by using the payroll document from the oldest award that is open. Job obligations from each new award will be added to this base employment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authority will collect payroll documents to calculate and verify the base employment level used in each award. Payroll documents must include a name or employee identification number and the hourly rate of pay for all full-time equivalent 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base employment level includes retained jobs, the authority will require a business to verify that a job is at risk. Such verification may include the signed statement of an officer of the business, documentation that the business is actively exploring other sites for the project, or any other information the authority may reasonably require during the application review process to establish that a job is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69.8(3)</w:t>
      </w:r>
      <w:r>
        <w:rPr>
          <w:rFonts w:ascii="Times New Roman" w:hAnsi="Times New Roman"/>
          <w:b w:val="false"/>
          <w:i w:val="false"/>
          <w:color w:val="000000"/>
          <w:sz w:val="24"/>
        </w:rPr>
        <w:t> </w:t>
      </w:r>
      <w:r>
        <w:rPr>
          <w:rFonts w:ascii="Times New Roman" w:hAnsi="Times New Roman"/>
          <w:b w:val="false"/>
          <w:i/>
          <w:color w:val="000000"/>
          <w:sz w:val="24"/>
        </w:rPr>
        <w:t xml:space="preserve">Verification. </w:t>
      </w:r>
      <w:r>
        <w:rPr>
          <w:rFonts w:ascii="Times New Roman" w:hAnsi="Times New Roman"/>
          <w:b w:val="false"/>
          <w:i w:val="false"/>
          <w:color w:val="000000"/>
          <w:sz w:val="24"/>
        </w:rPr>
        <w:t>Payroll documents will be used to calculate and verify compliance with job obligations. The person who submits the documents must, under penalty of perjury, verify that the information contained in the documents is true and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69.8(4)</w:t>
      </w:r>
      <w:r>
        <w:rPr>
          <w:rFonts w:ascii="Times New Roman" w:hAnsi="Times New Roman"/>
          <w:b w:val="false"/>
          <w:i w:val="false"/>
          <w:color w:val="000000"/>
          <w:sz w:val="24"/>
        </w:rPr>
        <w:t> </w:t>
      </w:r>
      <w:r>
        <w:rPr>
          <w:rFonts w:ascii="Times New Roman" w:hAnsi="Times New Roman"/>
          <w:b w:val="false"/>
          <w:i/>
          <w:color w:val="000000"/>
          <w:sz w:val="24"/>
        </w:rPr>
        <w:t xml:space="preserve">Full-time equivalent positions.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Only an individual filling a full-time equivalent position will be considered an employee of the business for the purpose of establishing the base employment level, retained jobs, or created jobs. The authority will not consider “job sharing” or any other means of aggregation or combination of hours worked by more than one natural person in counting jobs. The authority will verify that full-time equivalent positions constitute the employment of one person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Eight hours per day for a five-day, 40-hour workweek for 52 weeks per year, including paid holidays, vacations and other paid leave;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69.8(5)</w:t>
      </w:r>
      <w:r>
        <w:rPr>
          <w:rFonts w:ascii="Times New Roman" w:hAnsi="Times New Roman"/>
          <w:b w:val="false"/>
          <w:i w:val="false"/>
          <w:color w:val="000000"/>
          <w:sz w:val="24"/>
        </w:rPr>
        <w:t> </w:t>
      </w:r>
      <w:r>
        <w:rPr>
          <w:rFonts w:ascii="Times New Roman" w:hAnsi="Times New Roman"/>
          <w:b w:val="false"/>
          <w:i/>
          <w:color w:val="000000"/>
          <w:sz w:val="24"/>
        </w:rPr>
        <w:t xml:space="preserve">Contract employees. </w:t>
      </w:r>
      <w:r>
        <w:rPr>
          <w:rFonts w:ascii="Times New Roman" w:hAnsi="Times New Roman"/>
          <w:b w:val="false"/>
          <w:i w:val="false"/>
          <w:color w:val="000000"/>
          <w:sz w:val="24"/>
        </w:rPr>
        <w:t>A business’s leased or contract employee may be included in the base employment level as a created job or as a retained job only if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business receiving the tax incentives or financial assistance has a legally binding contract with a third-party provider to provide the leased or contract employee.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requires the third-party provider to submit payroll records to the authority, in the form and content and as frequently as required by the authority, for purposes of verifying that the business’s job creation or retention and benefit requirements are being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contract between the third-party provider and the business specifically authorizes the authority, or its authorized representatives, to access the third-party provider’s records related to the funded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business receiving the tax incentives or financial assistance agrees to be contractually liable to the authority for the performance or nonperformance of the third-party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69.8(6)</w:t>
      </w:r>
      <w:r>
        <w:rPr>
          <w:rFonts w:ascii="Times New Roman" w:hAnsi="Times New Roman"/>
          <w:b w:val="false"/>
          <w:i w:val="false"/>
          <w:color w:val="000000"/>
          <w:sz w:val="24"/>
        </w:rPr>
        <w:t> </w:t>
      </w:r>
      <w:r>
        <w:rPr>
          <w:rFonts w:ascii="Times New Roman" w:hAnsi="Times New Roman"/>
          <w:b w:val="false"/>
          <w:i/>
          <w:color w:val="000000"/>
          <w:sz w:val="24"/>
        </w:rPr>
        <w:t xml:space="preserve">Remote employees. </w:t>
      </w:r>
      <w:r>
        <w:rPr>
          <w:rFonts w:ascii="Times New Roman" w:hAnsi="Times New Roman"/>
          <w:b w:val="false"/>
          <w:i w:val="false"/>
          <w:color w:val="000000"/>
          <w:sz w:val="24"/>
        </w:rPr>
        <w:t>Employees in a position with a reasonable connection to a project location who work remotely may be included in the base employment level, as a created job, or as a retained job as established by the authority at the time of application. To determine whether employees who work remotely should be included, the authority will consider a business’s policies on establishing remote work locations for employees, reporting structures,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as a created job, or as a retained job pursuant to this subrule shall be solely within the discretion of the authority.</w:t>
      </w:r>
    </w:p>
    <w:p>
      <w:pPr>
        <w:spacing w:before="0" w:after="0" w:line="480"/>
        <w:ind w:left="120"/>
        <w:jc w:val="both"/>
      </w:pPr>
      <w:r>
        <w:rPr>
          <w:rFonts w:ascii="Times New Roman" w:hAnsi="Times New Roman"/>
          <w:b/>
          <w:i w:val="false"/>
          <w:color w:val="000000"/>
          <w:sz w:val="24"/>
        </w:rPr>
        <w:t>261—69.9</w:t>
      </w:r>
      <w:r>
        <w:rPr>
          <w:rFonts w:ascii="Times New Roman" w:hAnsi="Times New Roman"/>
          <w:b/>
          <w:i w:val="false"/>
          <w:color w:val="000000"/>
          <w:sz w:val="24"/>
        </w:rPr>
        <w:t xml:space="preserve">(15) </w:t>
      </w:r>
      <w:r>
        <w:rPr>
          <w:rFonts w:ascii="Times New Roman" w:hAnsi="Times New Roman"/>
          <w:b/>
          <w:i w:val="false"/>
          <w:color w:val="000000"/>
          <w:sz w:val="24"/>
        </w:rPr>
        <w:t xml:space="preserve">Wage requirements. </w:t>
      </w:r>
      <w:r>
        <w:rPr>
          <w:rFonts w:ascii="Times New Roman" w:hAnsi="Times New Roman"/>
          <w:b w:val="false"/>
          <w:i w:val="false"/>
          <w:color w:val="000000"/>
          <w:sz w:val="24"/>
        </w:rPr>
        <w:t>Created or retained jobs shall meet the qualifying wage threshold requirements as established pursuant to this rule and as indicated in an agreement. Jobs that do not meet the qualifying wage threshold requirements will not be counted toward a business’s job creation or job retention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business is creating jobs, the business shall demonstrate that the jobs will pay at least 100 percent of the qualifying wage threshold by the contract end date. If the business is retaining jobs, the business shall demonstrate that the jobs will pay at least 120 percent of the qualifying wage threshold from the award date until the contract end date. The authority may establish a higher qualifying wage threshold requirement for a specific project if the quality of jobs is a significant factor in negotiating the award pursuant to rule </w:t>
      </w:r>
      <w:hyperlink r:id="rId71">
        <w:r>
          <w:rPr>
            <w:rStyle w:val="Hyperlink"/>
            <w:rFonts w:ascii="Times New Roman" w:hAnsi="Times New Roman"/>
            <w:b w:val="false"/>
            <w:i w:val="false"/>
            <w:color w:val="000000"/>
            <w:sz w:val="24"/>
          </w:rPr>
          <w:t>261—69.4(15)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will update the qualifying wage thresholds annually each fiscal year. The thresholds will take effect on September 1 of each fiscal year and remain in effect until August 31 of the following fiscal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69.9(3)</w:t>
      </w:r>
      <w:r>
        <w:rPr>
          <w:rFonts w:ascii="Times New Roman" w:hAnsi="Times New Roman"/>
          <w:b w:val="false"/>
          <w:i w:val="false"/>
          <w:color w:val="000000"/>
          <w:sz w:val="24"/>
        </w:rPr>
        <w:t> </w:t>
      </w:r>
      <w:r>
        <w:rPr>
          <w:rFonts w:ascii="Times New Roman" w:hAnsi="Times New Roman"/>
          <w:b w:val="false"/>
          <w:i w:val="false"/>
          <w:color w:val="000000"/>
          <w:sz w:val="24"/>
        </w:rPr>
        <w:t>The authority will calculate the qualifying wage threshold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most current covered wage and employment data available from the department of workforce development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wage will be computed as a mean wage figure and represented in terms of an hourly wage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Only the wages paid by employers for jobs performed within the first two zones of a laborshed area will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Only those wages within two standard deviations of the mean wage will be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may establish a qualifying wage threshold requirement lower than those designated pursuant to subrule </w:t>
      </w:r>
      <w:hyperlink r:id="rId72">
        <w:r>
          <w:rPr>
            <w:rStyle w:val="Hyperlink"/>
            <w:rFonts w:ascii="Times New Roman" w:hAnsi="Times New Roman"/>
            <w:b w:val="false"/>
            <w:i w:val="false"/>
            <w:color w:val="000000"/>
            <w:sz w:val="24"/>
          </w:rPr>
          <w:t>69.9(1)</w:t>
        </w:r>
      </w:hyperlink>
      <w:r>
        <w:rPr>
          <w:rFonts w:ascii="Times New Roman" w:hAnsi="Times New Roman"/>
          <w:b w:val="false"/>
          <w:i w:val="false"/>
          <w:color w:val="000000"/>
          <w:sz w:val="24"/>
        </w:rPr>
        <w:t xml:space="preserve"> if a business located in the county experiences a layoff, closure, or natural disaster that has a significant impact on a community within the county.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Factors the authority will consider in determining whether a layoff, closure, or natural disaster has a significant impact on a community within the county include but are not limited to total number of employees impacted, percentage of the applicable laborshed impacted, number of employees impacted as a percentage of population, current unemployment rate, and unemployment rate including the employees affected by a layoff or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city or county shall request the designation of a county as an area that has experienced a significant impact pursuant to this subrule in writing. Such requests and the duration of the designation are subject to approval by the board. Requests may be made simultaneously with submission of a project application that would qualify for a lower qualifying wage threshold requirement pursuant to this subrule if the request is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69.9(5)</w:t>
      </w:r>
      <w:r>
        <w:rPr>
          <w:rFonts w:ascii="Times New Roman" w:hAnsi="Times New Roman"/>
          <w:b w:val="false"/>
          <w:i w:val="false"/>
          <w:color w:val="000000"/>
          <w:sz w:val="24"/>
        </w:rPr>
        <w:t> </w:t>
      </w:r>
      <w:r>
        <w:rPr>
          <w:rFonts w:ascii="Times New Roman" w:hAnsi="Times New Roman"/>
          <w:b w:val="false"/>
          <w:i w:val="false"/>
          <w:color w:val="000000"/>
          <w:sz w:val="24"/>
        </w:rPr>
        <w:t xml:space="preserve">The authority maintains a list of areas qualifying for a lower wage threshold designated pursuant to subrule </w:t>
      </w:r>
      <w:hyperlink r:id="rId73">
        <w:r>
          <w:rPr>
            <w:rStyle w:val="Hyperlink"/>
            <w:rFonts w:ascii="Times New Roman" w:hAnsi="Times New Roman"/>
            <w:b w:val="false"/>
            <w:i w:val="false"/>
            <w:color w:val="000000"/>
            <w:sz w:val="24"/>
          </w:rPr>
          <w:t>69.9(4)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69.9(6)</w:t>
      </w:r>
      <w:r>
        <w:rPr>
          <w:rFonts w:ascii="Times New Roman" w:hAnsi="Times New Roman"/>
          <w:b w:val="false"/>
          <w:i w:val="false"/>
          <w:color w:val="000000"/>
          <w:sz w:val="24"/>
        </w:rPr>
        <w:t> </w:t>
      </w:r>
      <w:r>
        <w:rPr>
          <w:rFonts w:ascii="Times New Roman" w:hAnsi="Times New Roman"/>
          <w:b w:val="false"/>
          <w:i w:val="false"/>
          <w:color w:val="000000"/>
          <w:sz w:val="24"/>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74">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II, part 33, as enacted by </w:t>
      </w:r>
      <w:r>
        <w:rPr>
          <w:rFonts w:ascii="Times New Roman" w:hAnsi="Times New Roman"/>
          <w:b w:val="false"/>
          <w:i w:val="false"/>
          <w:color w:val="000000"/>
          <w:sz w:val="24"/>
        </w:rPr>
        <w:t>2025 Iowa Acts, Senate File 657</w:t>
      </w:r>
      <w:r>
        <w:rPr>
          <w:rFonts w:ascii="Times New Roman" w:hAnsi="Times New Roman"/>
          <w:b w:val="false"/>
          <w:i w:val="false"/>
          <w:color w:val="000000"/>
          <w:sz w:val="24"/>
        </w:rPr>
        <w:t xml:space="preserve">, and section </w:t>
      </w:r>
      <w:hyperlink r:id="rId75">
        <w:r>
          <w:rPr>
            <w:rStyle w:val="Hyperlink"/>
            <w:rFonts w:ascii="Times New Roman" w:hAnsi="Times New Roman"/>
            <w:b w:val="false"/>
            <w:i w:val="false"/>
            <w:color w:val="000000"/>
            <w:sz w:val="24"/>
          </w:rPr>
          <w:t>15A.1</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12/1/25, effective 1/28/26]</w:t>
      </w:r>
    </w:p>
    <w:p>
      <w:pPr>
        <w:spacing w:before="0" w:after="0" w:line="480"/>
        <w:ind w:left="120"/>
        <w:jc w:val="center"/>
      </w:pPr>
      <w:r>
        <w:rPr>
          <w:rFonts w:ascii="Times New Roman" w:hAnsi="Times New Roman"/>
          <w:b w:val="false"/>
          <w:i w:val="false"/>
          <w:color w:val="000000"/>
          <w:sz w:val="24"/>
        </w:rPr>
        <w:t>[Published 12/24/25]</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12/24/25.</w:t>
      </w:r>
    </w:p>
    <w:p>
      <w:pPr>
        <w:spacing w:before="0" w:after="0" w:line="480"/>
        <w:ind w:left="120"/>
        <w:jc w:val="left"/>
      </w:pPr>
      <w:bookmarkStart w:name="lastARC" w:id="2"/>
      <w:bookmarkEnd w:id="2"/>
    </w:p>
    <w:sectPr>
      <w:footerReference r:id="rId7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15.506.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503.pdf" Type="http://schemas.openxmlformats.org/officeDocument/2006/relationships/hyperlink" Id="rId7"/>
    <Relationship TargetMode="External" Target="https://www.legis.iowa.gov/docs/ico/chapter/15.503.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503.pdf" Type="http://schemas.openxmlformats.org/officeDocument/2006/relationships/hyperlink" Id="rId10"/>
    <Relationship TargetMode="External" Target="https://www.legis.iowa.gov/docs/ico/chapter/15.503.pdf" Type="http://schemas.openxmlformats.org/officeDocument/2006/relationships/hyperlink" Id="rId11"/>
    <Relationship TargetMode="External" Target="https://www.legis.iowa.gov/docs/ico/chapter/423.3.pdf" Type="http://schemas.openxmlformats.org/officeDocument/2006/relationships/hyperlink" Id="rId12"/>
    <Relationship TargetMode="External" Target="https://www.legis.iowa.gov/docs/ico/chapter/15.504.pdf" Type="http://schemas.openxmlformats.org/officeDocument/2006/relationships/hyperlink" Id="rId13"/>
    <Relationship TargetMode="External" Target="https://www.legis.iowa.gov/docs/ico/chapter/15.511.pdf" Type="http://schemas.openxmlformats.org/officeDocument/2006/relationships/hyperlink" Id="rId14"/>
    <Relationship TargetMode="External" Target="https://www.legis.iowa.gov/docs/ico/chapter/15.503.pdf" Type="http://schemas.openxmlformats.org/officeDocument/2006/relationships/hyperlink" Id="rId15"/>
    <Relationship TargetMode="External" Target="https://www.legis.iowa.gov/docs/ico/chapter/15.503.pdf" Type="http://schemas.openxmlformats.org/officeDocument/2006/relationships/hyperlink" Id="rId16"/>
    <Relationship TargetMode="External" Target="https://www.legis.iowa.gov/docs/ico/chapter/15.503.pdf" Type="http://schemas.openxmlformats.org/officeDocument/2006/relationships/hyperlink" Id="rId17"/>
    <Relationship TargetMode="External" Target="https://www.legis.iowa.gov/docs/ico/chapter/15.503.pdf" Type="http://schemas.openxmlformats.org/officeDocument/2006/relationships/hyperlink" Id="rId18"/>
    <Relationship TargetMode="External" Target="https://www.legis.iowa.gov/docs/ico/chapter/15.503.pdf" Type="http://schemas.openxmlformats.org/officeDocument/2006/relationships/hyperlink" Id="rId19"/>
    <Relationship TargetMode="External" Target="https://www.legis.iowa.gov/docs/ico/chapter/15.503.pdf" Type="http://schemas.openxmlformats.org/officeDocument/2006/relationships/hyperlink" Id="rId20"/>
    <Relationship TargetMode="External" Target="https://www.legis.iowa.gov/docs/ico/chapter/15.503.pdf" Type="http://schemas.openxmlformats.org/officeDocument/2006/relationships/hyperlink" Id="rId21"/>
    <Relationship TargetMode="External" Target="https://www.legis.iowa.gov/docs/ico/chapter/15.507.pdf" Type="http://schemas.openxmlformats.org/officeDocument/2006/relationships/hyperlink" Id="rId22"/>
    <Relationship TargetMode="External" Target="https://www.legis.iowa.gov/docs/ico/chapter/15.508.pdf" Type="http://schemas.openxmlformats.org/officeDocument/2006/relationships/hyperlink" Id="rId23"/>
    <Relationship TargetMode="External" Target="https://www.legis.iowa.gov/docs/ico/chapter/15.504.pdf" Type="http://schemas.openxmlformats.org/officeDocument/2006/relationships/hyperlink" Id="rId24"/>
    <Relationship TargetMode="External" Target="https://www.legis.iowa.gov/docs/ico/chapter/15.504.pdf" Type="http://schemas.openxmlformats.org/officeDocument/2006/relationships/hyperlink" Id="rId25"/>
    <Relationship TargetMode="External" Target="https://www.legis.iowa.gov/docs/ico/chapter/423.1.pdf" Type="http://schemas.openxmlformats.org/officeDocument/2006/relationships/hyperlink" Id="rId26"/>
    <Relationship TargetMode="External" Target="https://www.legis.iowa.gov/docs/ico/chapter/423.pdf" Type="http://schemas.openxmlformats.org/officeDocument/2006/relationships/hyperlink" Id="rId27"/>
    <Relationship TargetMode="External" Target="https://www.legis.iowa.gov/docs/ico/chapter/15.504.pdf" Type="http://schemas.openxmlformats.org/officeDocument/2006/relationships/hyperlink" Id="rId28"/>
    <Relationship TargetMode="External" Target="https://www.legis.iowa.gov/docs/ico/chapter/15.504.pdf" Type="http://schemas.openxmlformats.org/officeDocument/2006/relationships/hyperlink" Id="rId29"/>
    <Relationship TargetMode="External" Target="https://www.legis.iowa.gov/docs/ico/chapter/15.504.pdf" Type="http://schemas.openxmlformats.org/officeDocument/2006/relationships/hyperlink" Id="rId30"/>
    <Relationship TargetMode="External" Target="https://www.legis.iowa.gov/docs/ico/chapter/9I.1.pdf" Type="http://schemas.openxmlformats.org/officeDocument/2006/relationships/hyperlink" Id="rId31"/>
    <Relationship TargetMode="External" Target="https://www.legis.iowa.gov/docs/ico/chapter/15.504.pdf" Type="http://schemas.openxmlformats.org/officeDocument/2006/relationships/hyperlink" Id="rId32"/>
    <Relationship TargetMode="External" Target="https://www.legis.iowa.gov/docs/ico/chapter/15.504.pdf" Type="http://schemas.openxmlformats.org/officeDocument/2006/relationships/hyperlink" Id="rId33"/>
    <Relationship TargetMode="External" Target="https://www.legis.iowa.gov/docs/ico/chapter/15.504.pdf" Type="http://schemas.openxmlformats.org/officeDocument/2006/relationships/hyperlink" Id="rId34"/>
    <Relationship TargetMode="External" Target="https://www.legis.iowa.gov/docs/iac/rule/261.69.9.pdf" Type="http://schemas.openxmlformats.org/officeDocument/2006/relationships/hyperlink" Id="rId35"/>
    <Relationship TargetMode="External" Target="https://www.legis.iowa.gov/docs/ico/chapter/15.504.pdf" Type="http://schemas.openxmlformats.org/officeDocument/2006/relationships/hyperlink" Id="rId36"/>
    <Relationship TargetMode="External" Target="https://www.legis.iowa.gov/docs/ico/chapter/15.504.pdf" Type="http://schemas.openxmlformats.org/officeDocument/2006/relationships/hyperlink" Id="rId37"/>
    <Relationship TargetMode="External" Target="https://www.legis.iowa.gov/docs/ico/chapter/15.505.pdf" Type="http://schemas.openxmlformats.org/officeDocument/2006/relationships/hyperlink" Id="rId38"/>
    <Relationship TargetMode="External" Target="https://www.legis.iowa.gov/docs/ico/chapter/15.505.pdf" Type="http://schemas.openxmlformats.org/officeDocument/2006/relationships/hyperlink" Id="rId39"/>
    <Relationship TargetMode="External" Target="https://www.legis.iowa.gov/docs/iac/rule/261.69.9.pdf" Type="http://schemas.openxmlformats.org/officeDocument/2006/relationships/hyperlink" Id="rId40"/>
    <Relationship TargetMode="External" Target="https://www.legis.iowa.gov/docs/iac/rule/261.69.8.pdf" Type="http://schemas.openxmlformats.org/officeDocument/2006/relationships/hyperlink" Id="rId41"/>
    <Relationship TargetMode="External" Target="https://www.legis.iowa.gov/docs/ico/chapter/15.503.pdf" Type="http://schemas.openxmlformats.org/officeDocument/2006/relationships/hyperlink" Id="rId42"/>
    <Relationship TargetMode="External" Target="https://www.legis.iowa.gov/docs/iac/rule/261.69.4.pdf" Type="http://schemas.openxmlformats.org/officeDocument/2006/relationships/hyperlink" Id="rId43"/>
    <Relationship TargetMode="External" Target="https://www.legis.iowa.gov/docs/iac/rule/261.69.4.pdf" Type="http://schemas.openxmlformats.org/officeDocument/2006/relationships/hyperlink" Id="rId44"/>
    <Relationship TargetMode="External" Target="https://www.legis.iowa.gov/docs/iac/chapter/261.1.pdf" Type="http://schemas.openxmlformats.org/officeDocument/2006/relationships/hyperlink" Id="rId45"/>
    <Relationship TargetMode="External" Target="https://www.legis.iowa.gov/docs/iac/rule/261.69.3.pdf" Type="http://schemas.openxmlformats.org/officeDocument/2006/relationships/hyperlink" Id="rId46"/>
    <Relationship TargetMode="External" Target="https://www.legis.iowa.gov/docs/ico/chapter/15.504.pdf" Type="http://schemas.openxmlformats.org/officeDocument/2006/relationships/hyperlink" Id="rId47"/>
    <Relationship TargetMode="External" Target="https://www.legis.iowa.gov/docs/ico/chapter/15.505.pdf" Type="http://schemas.openxmlformats.org/officeDocument/2006/relationships/hyperlink" Id="rId48"/>
    <Relationship TargetMode="External" Target="https://www.legis.iowa.gov/docs/iac/rule/261.69.4.pdf" Type="http://schemas.openxmlformats.org/officeDocument/2006/relationships/hyperlink" Id="rId49"/>
    <Relationship TargetMode="External" Target="https://www.legis.iowa.gov/docs/iac/rule/261.69.4.pdf" Type="http://schemas.openxmlformats.org/officeDocument/2006/relationships/hyperlink" Id="rId50"/>
    <Relationship TargetMode="External" Target="https://www.legis.iowa.gov/docs/ico/chapter/15.119.pdf" Type="http://schemas.openxmlformats.org/officeDocument/2006/relationships/hyperlink" Id="rId51"/>
    <Relationship TargetMode="External" Target="https://www.legis.iowa.gov/docs/ico/chapter/15.111.pdf" Type="http://schemas.openxmlformats.org/officeDocument/2006/relationships/hyperlink" Id="rId52"/>
    <Relationship TargetMode="External" Target="https://www.legis.iowa.gov/docs/ico/chapter/15.507.pdf" Type="http://schemas.openxmlformats.org/officeDocument/2006/relationships/hyperlink" Id="rId53"/>
    <Relationship TargetMode="External" Target="https://www.legis.iowa.gov/docs/ico/chapter/15.508.pdf" Type="http://schemas.openxmlformats.org/officeDocument/2006/relationships/hyperlink" Id="rId54"/>
    <Relationship TargetMode="External" Target="https://www.legis.iowa.gov/docs/ico/chapter/15.510.pdf" Type="http://schemas.openxmlformats.org/officeDocument/2006/relationships/hyperlink" Id="rId55"/>
    <Relationship TargetMode="External" Target="https://www.legis.iowa.gov/docs/ico/chapter/15.510.pdf" Type="http://schemas.openxmlformats.org/officeDocument/2006/relationships/hyperlink" Id="rId56"/>
    <Relationship TargetMode="External" Target="https://www.legis.iowa.gov/docs/ico/chapter/15.508.pdf" Type="http://schemas.openxmlformats.org/officeDocument/2006/relationships/hyperlink" Id="rId57"/>
    <Relationship TargetMode="External" Target="https://www.legis.iowa.gov/docs/ico/chapter/15.508.pdf" Type="http://schemas.openxmlformats.org/officeDocument/2006/relationships/hyperlink" Id="rId58"/>
    <Relationship TargetMode="External" Target="https://www.legis.iowa.gov/docs/ico/chapter/15.111.pdf" Type="http://schemas.openxmlformats.org/officeDocument/2006/relationships/hyperlink" Id="rId59"/>
    <Relationship TargetMode="External" Target="https://www.legis.iowa.gov/docs/ico/chapter/15.511.pdf" Type="http://schemas.openxmlformats.org/officeDocument/2006/relationships/hyperlink" Id="rId60"/>
    <Relationship TargetMode="External" Target="https://www.legis.iowa.gov/docs/ico/chapter/15.506.pdf" Type="http://schemas.openxmlformats.org/officeDocument/2006/relationships/hyperlink" Id="rId61"/>
    <Relationship TargetMode="External" Target="https://www.legis.iowa.gov/docs/iac/rule/261.69.8.pdf" Type="http://schemas.openxmlformats.org/officeDocument/2006/relationships/hyperlink" Id="rId62"/>
    <Relationship TargetMode="External" Target="https://www.legis.iowa.gov/docs/ico/chapter/15A.1.pdf" Type="http://schemas.openxmlformats.org/officeDocument/2006/relationships/hyperlink" Id="rId63"/>
    <Relationship TargetMode="External" Target="https://www.legis.iowa.gov/docs/ico/chapter/15.107B.pdf" Type="http://schemas.openxmlformats.org/officeDocument/2006/relationships/hyperlink" Id="rId64"/>
    <Relationship TargetMode="External" Target="https://www.legis.iowa.gov/docs/ico/chapter/15.506.pdf" Type="http://schemas.openxmlformats.org/officeDocument/2006/relationships/hyperlink" Id="rId65"/>
    <Relationship TargetMode="External" Target="https://www.legis.iowa.gov/docs/ico/chapter/15.510.pdf" Type="http://schemas.openxmlformats.org/officeDocument/2006/relationships/hyperlink" Id="rId66"/>
    <Relationship TargetMode="External" Target="https://www.legis.iowa.gov/docs/ico/chapter/15.pdf" Type="http://schemas.openxmlformats.org/officeDocument/2006/relationships/hyperlink" Id="rId67"/>
    <Relationship TargetMode="External" Target="https://www.legis.iowa.gov/docs/iac/rule/261.69.7.pdf" Type="http://schemas.openxmlformats.org/officeDocument/2006/relationships/hyperlink" Id="rId68"/>
    <Relationship TargetMode="External" Target="https://www.legis.iowa.gov/docs/iac/chapter/261.1.pdf" Type="http://schemas.openxmlformats.org/officeDocument/2006/relationships/hyperlink" Id="rId69"/>
    <Relationship TargetMode="External" Target="https://www.legis.iowa.gov/docs/ico/chapter/15.pdf" Type="http://schemas.openxmlformats.org/officeDocument/2006/relationships/hyperlink" Id="rId70"/>
    <Relationship TargetMode="External" Target="https://www.legis.iowa.gov/docs/iac/rule/261.69.4.pdf" Type="http://schemas.openxmlformats.org/officeDocument/2006/relationships/hyperlink" Id="rId71"/>
    <Relationship TargetMode="External" Target="https://www.legis.iowa.gov/docs/iac/rule/261.69.9.pdf" Type="http://schemas.openxmlformats.org/officeDocument/2006/relationships/hyperlink" Id="rId72"/>
    <Relationship TargetMode="External" Target="https://www.legis.iowa.gov/docs/iac/rule/261.69.9.pdf" Type="http://schemas.openxmlformats.org/officeDocument/2006/relationships/hyperlink" Id="rId73"/>
    <Relationship TargetMode="External" Target="https://www.legis.iowa.gov/docs/ico/chapter/15.pdf" Type="http://schemas.openxmlformats.org/officeDocument/2006/relationships/hyperlink" Id="rId74"/>
    <Relationship TargetMode="External" Target="https://www.legis.iowa.gov/docs/ico/chapter/15A.1.pdf" Type="http://schemas.openxmlformats.org/officeDocument/2006/relationships/hyperlink" Id="rId75"/>
    <Relationship Target="footer.xml" Type="http://schemas.openxmlformats.org/officeDocument/2006/relationships/footer" Id="rId7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