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line="480"/>
        <w:ind w:left="120"/>
        <w:jc w:val="left"/>
      </w:pPr>
      <w:bookmarkStart w:name="firstARC" w:id="0"/>
      <w:bookmarkEnd w:id="0"/>
    </w:p>
    <w:bookmarkStart w:name="arc9857C" w:id="1"/>
    <w:p>
      <w:pPr>
        <w:spacing w:before="0" w:after="0" w:line="480"/>
        <w:ind w:left="120"/>
        <w:jc w:val="right"/>
      </w:pPr>
      <w:r>
        <w:rPr>
          <w:rFonts w:ascii="Times New Roman" w:hAnsi="Times New Roman"/>
          <w:b/>
          <w:i w:val="false"/>
          <w:color w:val="000000"/>
          <w:sz w:val="28"/>
        </w:rPr>
        <w:t>ARC 9857C</w:t>
      </w:r>
    </w:p>
    <w:bookmarkEnd w:id="1"/>
    <w:p>
      <w:pPr>
        <w:pBdr>
          <w:top w:space="5"/>
        </w:pBdr>
        <w:spacing w:before="0" w:after="0" w:line="480"/>
        <w:ind w:left="120"/>
        <w:jc w:val="center"/>
      </w:pPr>
      <w:r>
        <w:rPr>
          <w:rFonts w:ascii="Times New Roman" w:hAnsi="Times New Roman"/>
          <w:b/>
          <w:i w:val="false"/>
          <w:color w:val="000000"/>
          <w:sz w:val="28"/>
        </w:rPr>
        <w:t>ECONOMIC DEVELOPMENT AUTHORITY[261]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length of service awards program grant fund</w:t>
      </w:r>
    </w:p>
    <w:p>
      <w:pPr>
        <w:pBdr>
          <w:top w:space="5"/>
        </w:pBdr>
        <w:spacing w:before="0" w:after="0" w:line="480"/>
        <w:ind w:left="120"/>
        <w:jc w:val="both"/>
      </w:pPr>
      <w:r>
        <w:rPr>
          <w:rFonts w:ascii="Times New Roman" w:hAnsi="Times New Roman"/>
          <w:b w:val="false"/>
          <w:i w:val="false"/>
          <w:color w:val="000000"/>
          <w:sz w:val="24"/>
        </w:rPr>
        <w:t>    The Economic Development Authority hereby adopts new Chapter 21, “Length of Service Awards Program Grant Fund,”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15.106A and 2025 Iowa Acts, House File 1002.</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2025 Iowa Acts, House File 1002.</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Iowa Code section 100B.52 as enacted by 2025 Iowa Acts, House File 1002, the Authority has adopted a new Chapter 21. The chapter describes the policies and procedures applicable to the Length of Service Awards Program Grant Fund. The program provides awards to municipalities that have established length of service awards programs for volunteer fire fighters, volunteer emergency medical care providers, and reserve peace officers. The chapter will set forth eligibility requirements, application procedures, and review processes for the program. </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pBdr>
          <w:top w:space="5"/>
        </w:pBd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October 15, 2025, as </w:t>
      </w:r>
      <w:r>
        <w:rPr>
          <w:rFonts w:ascii="Times New Roman" w:hAnsi="Times New Roman"/>
          <w:b/>
          <w:i w:val="false"/>
          <w:color w:val="000000"/>
          <w:sz w:val="24"/>
        </w:rPr>
        <w:t>ARC 9611C</w:t>
      </w:r>
      <w:r>
        <w:rPr>
          <w:rFonts w:ascii="Times New Roman" w:hAnsi="Times New Roman"/>
          <w:b w:val="false"/>
          <w:i w:val="false"/>
          <w:color w:val="000000"/>
          <w:sz w:val="24"/>
        </w:rPr>
        <w:t>. No public comments were received.</w:t>
      </w:r>
    </w:p>
    <w:p>
      <w:pPr>
        <w:spacing w:before="0" w:after="0" w:line="480"/>
        <w:ind w:left="120"/>
        <w:jc w:val="both"/>
      </w:pPr>
      <w:r>
        <w:rPr>
          <w:rFonts w:ascii="Times New Roman" w:hAnsi="Times New Roman"/>
          <w:b w:val="false"/>
          <w:i w:val="false"/>
          <w:color w:val="000000"/>
          <w:sz w:val="24"/>
        </w:rPr>
        <w:t>    Changes from the Notice have been made to clarify that the resolution of a municipality’s governing body establishing a length of service awards program should confirm the municipality’s program meets the requirements of Iowa Code section 100B.51 and Title 26 of the U.S. Code (26 U.S.C. Section 457). </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Authority Board on November 21,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beyond that of the legislation it is intended to implement.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Authority for a waiver of the discretionary provisions, if any, pursuant to 261—Chapter 199.</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January 28,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w:t>
      </w:r>
      <w:r>
        <w:rPr>
          <w:rFonts w:ascii="Times New Roman" w:hAnsi="Times New Roman"/>
          <w:b w:val="false"/>
          <w:i w:val="false"/>
          <w:color w:val="000000"/>
          <w:sz w:val="24"/>
        </w:rPr>
        <w:t>261—Chapter 21</w:t>
      </w:r>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21</w:t>
      </w:r>
    </w:p>
    <w:p>
      <w:pPr>
        <w:spacing w:before="0" w:after="0" w:line="480"/>
        <w:ind w:left="120"/>
        <w:jc w:val="center"/>
      </w:pPr>
      <w:r>
        <w:rPr>
          <w:rFonts w:ascii="Times New Roman" w:hAnsi="Times New Roman"/>
          <w:b w:val="false"/>
          <w:i w:val="false"/>
          <w:color w:val="000000"/>
          <w:sz w:val="21"/>
        </w:rPr>
        <w:t>LENGTH OF SERVICE AWARDS PROGRAM GRANT FUND</w:t>
      </w:r>
    </w:p>
    <w:p>
      <w:pPr>
        <w:spacing w:before="210" w:after="0" w:line="480"/>
        <w:ind w:left="120"/>
        <w:jc w:val="both"/>
      </w:pPr>
      <w:r>
        <w:rPr>
          <w:rFonts w:ascii="Times New Roman" w:hAnsi="Times New Roman"/>
          <w:b/>
          <w:i w:val="false"/>
          <w:color w:val="000000"/>
          <w:sz w:val="24"/>
        </w:rPr>
        <w:t>261—21.1</w:t>
      </w:r>
      <w:r>
        <w:rPr>
          <w:rFonts w:ascii="Times New Roman" w:hAnsi="Times New Roman"/>
          <w:b/>
          <w:i w:val="false"/>
          <w:color w:val="000000"/>
          <w:sz w:val="24"/>
        </w:rPr>
        <w:t xml:space="preserve">(15) </w:t>
      </w:r>
      <w:r>
        <w:rPr>
          <w:rFonts w:ascii="Times New Roman" w:hAnsi="Times New Roman"/>
          <w:b/>
          <w:i w:val="false"/>
          <w:color w:val="000000"/>
          <w:sz w:val="24"/>
        </w:rPr>
        <w:t xml:space="preserve">Purpose. </w:t>
      </w:r>
      <w:r>
        <w:rPr>
          <w:rFonts w:ascii="Times New Roman" w:hAnsi="Times New Roman"/>
          <w:b w:val="false"/>
          <w:i w:val="false"/>
          <w:color w:val="000000"/>
          <w:sz w:val="24"/>
        </w:rPr>
        <w:t xml:space="preserve">The length of service awards program grant fund is created pursuant to and for the purposes stated under Iowa Code section </w:t>
      </w:r>
      <w:hyperlink r:id="rId5">
        <w:r>
          <w:rPr>
            <w:rStyle w:val="Hyperlink"/>
            <w:rFonts w:ascii="Times New Roman" w:hAnsi="Times New Roman"/>
            <w:b w:val="false"/>
            <w:i w:val="false"/>
            <w:color w:val="000000"/>
            <w:sz w:val="24"/>
          </w:rPr>
          <w:t>100B.52</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House File 1002</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261—21.2</w:t>
      </w:r>
      <w:r>
        <w:rPr>
          <w:rFonts w:ascii="Times New Roman" w:hAnsi="Times New Roman"/>
          <w:b/>
          <w:i w:val="false"/>
          <w:color w:val="000000"/>
          <w:sz w:val="24"/>
        </w:rPr>
        <w:t xml:space="preserve">(15)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“Applicant” </w:t>
      </w:r>
      <w:r>
        <w:rPr>
          <w:rFonts w:ascii="Times New Roman" w:hAnsi="Times New Roman"/>
          <w:b w:val="false"/>
          <w:i w:val="false"/>
          <w:color w:val="000000"/>
          <w:sz w:val="24"/>
        </w:rPr>
        <w:t>means an eligible municipality that is applying for a grant.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“Authority” </w:t>
      </w:r>
      <w:r>
        <w:rPr>
          <w:rFonts w:ascii="Times New Roman" w:hAnsi="Times New Roman"/>
          <w:b w:val="false"/>
          <w:i w:val="false"/>
          <w:color w:val="000000"/>
          <w:sz w:val="24"/>
        </w:rPr>
        <w:t xml:space="preserve">means the economic development authority established pursuant to Iowa Code section </w:t>
      </w:r>
      <w:hyperlink r:id="rId6">
        <w:r>
          <w:rPr>
            <w:rStyle w:val="Hyperlink"/>
            <w:rFonts w:ascii="Times New Roman" w:hAnsi="Times New Roman"/>
            <w:b w:val="false"/>
            <w:i w:val="false"/>
            <w:color w:val="000000"/>
            <w:sz w:val="24"/>
          </w:rPr>
          <w:t>15.105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“Emergency medical care provider” </w:t>
      </w:r>
      <w:r>
        <w:rPr>
          <w:rFonts w:ascii="Times New Roman" w:hAnsi="Times New Roman"/>
          <w:b w:val="false"/>
          <w:i w:val="false"/>
          <w:color w:val="000000"/>
          <w:sz w:val="24"/>
        </w:rPr>
        <w:t xml:space="preserve">means the same as defined in Iowa Code section </w:t>
      </w:r>
      <w:hyperlink r:id="rId7">
        <w:r>
          <w:rPr>
            <w:rStyle w:val="Hyperlink"/>
            <w:rFonts w:ascii="Times New Roman" w:hAnsi="Times New Roman"/>
            <w:b w:val="false"/>
            <w:i w:val="false"/>
            <w:color w:val="000000"/>
            <w:sz w:val="24"/>
          </w:rPr>
          <w:t>147A.1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“Grant” </w:t>
      </w:r>
      <w:r>
        <w:rPr>
          <w:rFonts w:ascii="Times New Roman" w:hAnsi="Times New Roman"/>
          <w:b w:val="false"/>
          <w:i w:val="false"/>
          <w:color w:val="000000"/>
          <w:sz w:val="24"/>
        </w:rPr>
        <w:t xml:space="preserve">means financial assistance provided by the authority from the length of service awards program grant fund established pursuant to Iowa Code section </w:t>
      </w:r>
      <w:hyperlink r:id="rId8">
        <w:r>
          <w:rPr>
            <w:rStyle w:val="Hyperlink"/>
            <w:rFonts w:ascii="Times New Roman" w:hAnsi="Times New Roman"/>
            <w:b w:val="false"/>
            <w:i w:val="false"/>
            <w:color w:val="000000"/>
            <w:sz w:val="24"/>
          </w:rPr>
          <w:t>100B.52</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House File 1002</w:t>
      </w:r>
      <w:r>
        <w:rPr>
          <w:rFonts w:ascii="Times New Roman" w:hAnsi="Times New Roman"/>
          <w:b w:val="false"/>
          <w:i w:val="false"/>
          <w:color w:val="000000"/>
          <w:sz w:val="24"/>
        </w:rPr>
        <w:t>, and administered pursuant to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“Municipality” </w:t>
      </w:r>
      <w:r>
        <w:rPr>
          <w:rFonts w:ascii="Times New Roman" w:hAnsi="Times New Roman"/>
          <w:b w:val="false"/>
          <w:i w:val="false"/>
          <w:color w:val="000000"/>
          <w:sz w:val="24"/>
        </w:rPr>
        <w:t xml:space="preserve">means the same as defined in Iowa Code section </w:t>
      </w:r>
      <w:hyperlink r:id="rId9">
        <w:r>
          <w:rPr>
            <w:rStyle w:val="Hyperlink"/>
            <w:rFonts w:ascii="Times New Roman" w:hAnsi="Times New Roman"/>
            <w:b w:val="false"/>
            <w:i w:val="false"/>
            <w:color w:val="000000"/>
            <w:sz w:val="24"/>
          </w:rPr>
          <w:t>100B.21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“Participant” </w:t>
      </w:r>
      <w:r>
        <w:rPr>
          <w:rFonts w:ascii="Times New Roman" w:hAnsi="Times New Roman"/>
          <w:b w:val="false"/>
          <w:i w:val="false"/>
          <w:color w:val="000000"/>
          <w:sz w:val="24"/>
        </w:rPr>
        <w:t>means a volunteer emergency medical care provider, reserve peace officer or volunteer firefighter receiving funds under a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“Program” </w:t>
      </w:r>
      <w:r>
        <w:rPr>
          <w:rFonts w:ascii="Times New Roman" w:hAnsi="Times New Roman"/>
          <w:b w:val="false"/>
          <w:i w:val="false"/>
          <w:color w:val="000000"/>
          <w:sz w:val="24"/>
        </w:rPr>
        <w:t xml:space="preserve">means a length of service award program created by an applicant that meets the requirements set forth in Iowa Code section </w:t>
      </w:r>
      <w:hyperlink r:id="rId10">
        <w:r>
          <w:rPr>
            <w:rStyle w:val="Hyperlink"/>
            <w:rFonts w:ascii="Times New Roman" w:hAnsi="Times New Roman"/>
            <w:b w:val="false"/>
            <w:i w:val="false"/>
            <w:color w:val="000000"/>
            <w:sz w:val="24"/>
          </w:rPr>
          <w:t>100B.51</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House File 1002</w:t>
      </w:r>
      <w:r>
        <w:rPr>
          <w:rFonts w:ascii="Times New Roman" w:hAnsi="Times New Roman"/>
          <w:b w:val="false"/>
          <w:i w:val="false"/>
          <w:color w:val="000000"/>
          <w:sz w:val="24"/>
        </w:rPr>
        <w:t>, and Title 26 of the U.S. Code (</w:t>
      </w:r>
      <w:r>
        <w:rPr>
          <w:rFonts w:ascii="Times New Roman" w:hAnsi="Times New Roman"/>
          <w:b w:val="false"/>
          <w:i w:val="false"/>
          <w:color w:val="000000"/>
          <w:sz w:val="24"/>
        </w:rPr>
        <w:t>26 U.S.C.</w:t>
      </w:r>
      <w:r>
        <w:rPr>
          <w:rFonts w:ascii="Times New Roman" w:hAnsi="Times New Roman"/>
          <w:b w:val="false"/>
          <w:i w:val="false"/>
          <w:color w:val="000000"/>
          <w:sz w:val="24"/>
        </w:rPr>
        <w:t xml:space="preserve"> Section 457(e)(11)).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“Recipient” </w:t>
      </w:r>
      <w:r>
        <w:rPr>
          <w:rFonts w:ascii="Times New Roman" w:hAnsi="Times New Roman"/>
          <w:b w:val="false"/>
          <w:i w:val="false"/>
          <w:color w:val="000000"/>
          <w:sz w:val="24"/>
        </w:rPr>
        <w:t>means a municipality that has been awarded a grant.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“Reserve peace officer” </w:t>
      </w:r>
      <w:r>
        <w:rPr>
          <w:rFonts w:ascii="Times New Roman" w:hAnsi="Times New Roman"/>
          <w:b w:val="false"/>
          <w:i w:val="false"/>
          <w:color w:val="000000"/>
          <w:sz w:val="24"/>
        </w:rPr>
        <w:t xml:space="preserve">means the same as defined in Iowa Code section </w:t>
      </w:r>
      <w:hyperlink r:id="rId11">
        <w:r>
          <w:rPr>
            <w:rStyle w:val="Hyperlink"/>
            <w:rFonts w:ascii="Times New Roman" w:hAnsi="Times New Roman"/>
            <w:b w:val="false"/>
            <w:i w:val="false"/>
            <w:color w:val="000000"/>
            <w:sz w:val="24"/>
          </w:rPr>
          <w:t>80D.1A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“Volunteer” </w:t>
      </w:r>
      <w:r>
        <w:rPr>
          <w:rFonts w:ascii="Times New Roman" w:hAnsi="Times New Roman"/>
          <w:b w:val="false"/>
          <w:i w:val="false"/>
          <w:color w:val="000000"/>
          <w:sz w:val="24"/>
        </w:rPr>
        <w:t xml:space="preserve">means the same as defined in Iowa Code section </w:t>
      </w:r>
      <w:hyperlink r:id="rId12">
        <w:r>
          <w:rPr>
            <w:rStyle w:val="Hyperlink"/>
            <w:rFonts w:ascii="Times New Roman" w:hAnsi="Times New Roman"/>
            <w:b w:val="false"/>
            <w:i w:val="false"/>
            <w:color w:val="000000"/>
            <w:sz w:val="24"/>
          </w:rPr>
          <w:t>100B.51</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House File 1002</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“Volunteer firefighter” </w:t>
      </w:r>
      <w:r>
        <w:rPr>
          <w:rFonts w:ascii="Times New Roman" w:hAnsi="Times New Roman"/>
          <w:b w:val="false"/>
          <w:i w:val="false"/>
          <w:color w:val="000000"/>
          <w:sz w:val="24"/>
        </w:rPr>
        <w:t xml:space="preserve">means the same as defined in Iowa Code section </w:t>
      </w:r>
      <w:hyperlink r:id="rId13">
        <w:r>
          <w:rPr>
            <w:rStyle w:val="Hyperlink"/>
            <w:rFonts w:ascii="Times New Roman" w:hAnsi="Times New Roman"/>
            <w:b w:val="false"/>
            <w:i w:val="false"/>
            <w:color w:val="000000"/>
            <w:sz w:val="24"/>
          </w:rPr>
          <w:t>85.61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261—21.3</w:t>
      </w:r>
      <w:r>
        <w:rPr>
          <w:rFonts w:ascii="Times New Roman" w:hAnsi="Times New Roman"/>
          <w:b/>
          <w:i w:val="false"/>
          <w:color w:val="000000"/>
          <w:sz w:val="24"/>
        </w:rPr>
        <w:t xml:space="preserve">(15) </w:t>
      </w:r>
      <w:r>
        <w:rPr>
          <w:rFonts w:ascii="Times New Roman" w:hAnsi="Times New Roman"/>
          <w:b/>
          <w:i w:val="false"/>
          <w:color w:val="000000"/>
          <w:sz w:val="24"/>
        </w:rPr>
        <w:t xml:space="preserve">Eligible applicants. </w:t>
      </w:r>
      <w:r>
        <w:rPr>
          <w:rFonts w:ascii="Times New Roman" w:hAnsi="Times New Roman"/>
          <w:b w:val="false"/>
          <w:i w:val="false"/>
          <w:color w:val="000000"/>
          <w:sz w:val="24"/>
        </w:rPr>
        <w:t>To be eligible for a grant, an applicant must be a municipality that has: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21.3(1)</w:t>
      </w:r>
      <w:r>
        <w:rPr>
          <w:rFonts w:ascii="Times New Roman" w:hAnsi="Times New Roman"/>
          <w:b w:val="false"/>
          <w:i w:val="false"/>
          <w:color w:val="000000"/>
          <w:sz w:val="24"/>
        </w:rPr>
        <w:t> </w:t>
      </w:r>
      <w:r>
        <w:rPr>
          <w:rFonts w:ascii="Times New Roman" w:hAnsi="Times New Roman"/>
          <w:b w:val="false"/>
          <w:i w:val="false"/>
          <w:color w:val="000000"/>
          <w:sz w:val="24"/>
        </w:rPr>
        <w:t xml:space="preserve">Created a program by resolution or ordinance from the municipality’s governing body for volunteer emergency medical care providers, volunteer firefighters and reserve peace officers and confirmed by such resolution or ordinance that the program meets the requirements set forth in Iowa Code section </w:t>
      </w:r>
      <w:hyperlink r:id="rId14">
        <w:r>
          <w:rPr>
            <w:rStyle w:val="Hyperlink"/>
            <w:rFonts w:ascii="Times New Roman" w:hAnsi="Times New Roman"/>
            <w:b w:val="false"/>
            <w:i w:val="false"/>
            <w:color w:val="000000"/>
            <w:sz w:val="24"/>
          </w:rPr>
          <w:t>100B.51</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House File 1002</w:t>
      </w:r>
      <w:r>
        <w:rPr>
          <w:rFonts w:ascii="Times New Roman" w:hAnsi="Times New Roman"/>
          <w:b w:val="false"/>
          <w:i w:val="false"/>
          <w:color w:val="000000"/>
          <w:sz w:val="24"/>
        </w:rPr>
        <w:t>, and Title 26 of the U.S. Code (26 U.S.C. Section 457).</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21.3(2)</w:t>
      </w:r>
      <w:r>
        <w:rPr>
          <w:rFonts w:ascii="Times New Roman" w:hAnsi="Times New Roman"/>
          <w:b w:val="false"/>
          <w:i w:val="false"/>
          <w:color w:val="000000"/>
          <w:sz w:val="24"/>
        </w:rPr>
        <w:t> </w:t>
      </w:r>
      <w:r>
        <w:rPr>
          <w:rFonts w:ascii="Times New Roman" w:hAnsi="Times New Roman"/>
          <w:b w:val="false"/>
          <w:i w:val="false"/>
          <w:color w:val="000000"/>
          <w:sz w:val="24"/>
        </w:rPr>
        <w:t>Created a dedicated account for the sole purpose of funding and managing its program.</w:t>
      </w:r>
    </w:p>
    <w:p>
      <w:pPr>
        <w:spacing w:before="0" w:after="0" w:line="480"/>
        <w:ind w:left="120"/>
        <w:jc w:val="both"/>
      </w:pPr>
      <w:r>
        <w:rPr>
          <w:rFonts w:ascii="Times New Roman" w:hAnsi="Times New Roman"/>
          <w:b/>
          <w:i w:val="false"/>
          <w:color w:val="000000"/>
          <w:sz w:val="24"/>
        </w:rPr>
        <w:t>261—21.4</w:t>
      </w:r>
      <w:r>
        <w:rPr>
          <w:rFonts w:ascii="Times New Roman" w:hAnsi="Times New Roman"/>
          <w:b/>
          <w:i w:val="false"/>
          <w:color w:val="000000"/>
          <w:sz w:val="24"/>
        </w:rPr>
        <w:t xml:space="preserve">(15) </w:t>
      </w:r>
      <w:r>
        <w:rPr>
          <w:rFonts w:ascii="Times New Roman" w:hAnsi="Times New Roman"/>
          <w:b/>
          <w:i w:val="false"/>
          <w:color w:val="000000"/>
          <w:sz w:val="24"/>
        </w:rPr>
        <w:t xml:space="preserve">Application procedures. </w:t>
      </w:r>
      <w:r>
        <w:rPr>
          <w:rFonts w:ascii="Times New Roman" w:hAnsi="Times New Roman"/>
          <w:b w:val="false"/>
          <w:i w:val="false"/>
          <w:color w:val="000000"/>
          <w:sz w:val="24"/>
        </w:rPr>
        <w:t>An applicant will be required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21.4(1)</w:t>
      </w:r>
      <w:r>
        <w:rPr>
          <w:rFonts w:ascii="Times New Roman" w:hAnsi="Times New Roman"/>
          <w:b w:val="false"/>
          <w:i w:val="false"/>
          <w:color w:val="000000"/>
          <w:sz w:val="24"/>
        </w:rPr>
        <w:t> </w:t>
      </w:r>
      <w:r>
        <w:rPr>
          <w:rFonts w:ascii="Times New Roman" w:hAnsi="Times New Roman"/>
          <w:b w:val="false"/>
          <w:i w:val="false"/>
          <w:color w:val="000000"/>
          <w:sz w:val="24"/>
        </w:rPr>
        <w:t>Electronically file the applicant’s grant application in the form and content prescribed by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21.4(2)</w:t>
      </w:r>
      <w:r>
        <w:rPr>
          <w:rFonts w:ascii="Times New Roman" w:hAnsi="Times New Roman"/>
          <w:b w:val="false"/>
          <w:i w:val="false"/>
          <w:color w:val="000000"/>
          <w:sz w:val="24"/>
        </w:rPr>
        <w:t> </w:t>
      </w:r>
      <w:r>
        <w:rPr>
          <w:rFonts w:ascii="Times New Roman" w:hAnsi="Times New Roman"/>
          <w:b w:val="false"/>
          <w:i w:val="false"/>
          <w:color w:val="000000"/>
          <w:sz w:val="24"/>
        </w:rPr>
        <w:t>Provide the authority with a certified copy of a resolution or ordinance from the applicant’s governing body creating a qualified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21.4(3)</w:t>
      </w:r>
      <w:r>
        <w:rPr>
          <w:rFonts w:ascii="Times New Roman" w:hAnsi="Times New Roman"/>
          <w:b w:val="false"/>
          <w:i w:val="false"/>
          <w:color w:val="000000"/>
          <w:sz w:val="24"/>
        </w:rPr>
        <w:t> </w:t>
      </w:r>
      <w:r>
        <w:rPr>
          <w:rFonts w:ascii="Times New Roman" w:hAnsi="Times New Roman"/>
          <w:b w:val="false"/>
          <w:i w:val="false"/>
          <w:color w:val="000000"/>
          <w:sz w:val="24"/>
        </w:rPr>
        <w:t>Provide the authority with a roster of participants in the applicant’s program. Volunteer emergency medical care providers, reserve peace officers and volunteer firefighters shall only be included in a roster for one program per application cycle.</w:t>
      </w:r>
    </w:p>
    <w:p>
      <w:pPr>
        <w:spacing w:before="210" w:after="0" w:line="480"/>
        <w:ind w:left="120"/>
        <w:jc w:val="both"/>
      </w:pPr>
      <w:r>
        <w:rPr>
          <w:rFonts w:ascii="Times New Roman" w:hAnsi="Times New Roman"/>
          <w:b/>
          <w:i w:val="false"/>
          <w:color w:val="000000"/>
          <w:sz w:val="24"/>
        </w:rPr>
        <w:t>261—21.5</w:t>
      </w:r>
      <w:r>
        <w:rPr>
          <w:rFonts w:ascii="Times New Roman" w:hAnsi="Times New Roman"/>
          <w:b/>
          <w:i w:val="false"/>
          <w:color w:val="000000"/>
          <w:sz w:val="24"/>
        </w:rPr>
        <w:t xml:space="preserve">(15) </w:t>
      </w:r>
      <w:r>
        <w:rPr>
          <w:rFonts w:ascii="Times New Roman" w:hAnsi="Times New Roman"/>
          <w:b/>
          <w:i w:val="false"/>
          <w:color w:val="000000"/>
          <w:sz w:val="24"/>
        </w:rPr>
        <w:t xml:space="preserve">Application review process. </w:t>
      </w:r>
      <w:r>
        <w:rPr>
          <w:rFonts w:ascii="Times New Roman" w:hAnsi="Times New Roman"/>
          <w:b w:val="false"/>
          <w:i w:val="false"/>
          <w:color w:val="000000"/>
          <w:sz w:val="24"/>
        </w:rPr>
        <w:t xml:space="preserve">An application will be reviewed by the authority for funding approval based on an applicant’s eligibility and the completeness of the applicant’s application. Based on the review process and subject to available funding, the authority may revise the applicant’s overall funding request pursuant to Iowa Code section </w:t>
      </w:r>
      <w:hyperlink r:id="rId15">
        <w:r>
          <w:rPr>
            <w:rStyle w:val="Hyperlink"/>
            <w:rFonts w:ascii="Times New Roman" w:hAnsi="Times New Roman"/>
            <w:b w:val="false"/>
            <w:i w:val="false"/>
            <w:color w:val="000000"/>
            <w:sz w:val="24"/>
          </w:rPr>
          <w:t>100B.52</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House File 1002</w:t>
      </w:r>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261—21.6</w:t>
      </w:r>
      <w:r>
        <w:rPr>
          <w:rFonts w:ascii="Times New Roman" w:hAnsi="Times New Roman"/>
          <w:b/>
          <w:i w:val="false"/>
          <w:color w:val="000000"/>
          <w:sz w:val="24"/>
        </w:rPr>
        <w:t xml:space="preserve">(15) </w:t>
      </w:r>
      <w:r>
        <w:rPr>
          <w:rFonts w:ascii="Times New Roman" w:hAnsi="Times New Roman"/>
          <w:b/>
          <w:i w:val="false"/>
          <w:color w:val="000000"/>
          <w:sz w:val="24"/>
        </w:rPr>
        <w:t xml:space="preserve">Matching contributions. </w:t>
      </w:r>
      <w:r>
        <w:rPr>
          <w:rFonts w:ascii="Times New Roman" w:hAnsi="Times New Roman"/>
          <w:b w:val="false"/>
          <w:i w:val="false"/>
          <w:color w:val="000000"/>
          <w:sz w:val="24"/>
        </w:rPr>
        <w:t xml:space="preserve">A recipient shall meet the match requirements specified in Iowa Code section </w:t>
      </w:r>
      <w:hyperlink r:id="rId16">
        <w:r>
          <w:rPr>
            <w:rStyle w:val="Hyperlink"/>
            <w:rFonts w:ascii="Times New Roman" w:hAnsi="Times New Roman"/>
            <w:b w:val="false"/>
            <w:i w:val="false"/>
            <w:color w:val="000000"/>
            <w:sz w:val="24"/>
          </w:rPr>
          <w:t>100B.52</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House File 1002</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261—21.7</w:t>
      </w:r>
      <w:r>
        <w:rPr>
          <w:rFonts w:ascii="Times New Roman" w:hAnsi="Times New Roman"/>
          <w:b/>
          <w:i w:val="false"/>
          <w:color w:val="000000"/>
          <w:sz w:val="24"/>
        </w:rPr>
        <w:t xml:space="preserve">(15) </w:t>
      </w:r>
      <w:r>
        <w:rPr>
          <w:rFonts w:ascii="Times New Roman" w:hAnsi="Times New Roman"/>
          <w:b/>
          <w:i w:val="false"/>
          <w:color w:val="000000"/>
          <w:sz w:val="24"/>
        </w:rPr>
        <w:t xml:space="preserve">Administration.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21.7(1)</w:t>
      </w:r>
      <w:r>
        <w:rPr>
          <w:rFonts w:ascii="Times New Roman" w:hAnsi="Times New Roman"/>
          <w:b w:val="false"/>
          <w:i w:val="false"/>
          <w:color w:val="000000"/>
          <w:sz w:val="24"/>
        </w:rPr>
        <w:t> </w:t>
      </w:r>
      <w:r>
        <w:rPr>
          <w:rFonts w:ascii="Times New Roman" w:hAnsi="Times New Roman"/>
          <w:b w:val="false"/>
          <w:i w:val="false"/>
          <w:color w:val="000000"/>
          <w:sz w:val="24"/>
        </w:rPr>
        <w:t>The authority will notify a successful applicant in writing of the applicant’s approved application for funding and prepare an agreement that reflects the terms of the grant award. The successful applicant must execute and return the agreement to the authority within 45 days of the transmittal of the final agreement from the authority. Failure to do so may result in the authority terminating the award.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21.7(2)</w:t>
      </w:r>
      <w:r>
        <w:rPr>
          <w:rFonts w:ascii="Times New Roman" w:hAnsi="Times New Roman"/>
          <w:b w:val="false"/>
          <w:i w:val="false"/>
          <w:color w:val="000000"/>
          <w:sz w:val="24"/>
        </w:rPr>
        <w:t> </w:t>
      </w:r>
      <w:r>
        <w:rPr>
          <w:rFonts w:ascii="Times New Roman" w:hAnsi="Times New Roman"/>
          <w:b w:val="false"/>
          <w:i w:val="false"/>
          <w:color w:val="000000"/>
          <w:sz w:val="24"/>
        </w:rPr>
        <w:t>Following execution of the final agreement, the authority will disburse the grant funds to the recipient for deposit into the recipient’s dedicated program 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21.7(3)</w:t>
      </w:r>
      <w:r>
        <w:rPr>
          <w:rFonts w:ascii="Times New Roman" w:hAnsi="Times New Roman"/>
          <w:b w:val="false"/>
          <w:i w:val="false"/>
          <w:color w:val="000000"/>
          <w:sz w:val="24"/>
        </w:rPr>
        <w:t> </w:t>
      </w:r>
      <w:r>
        <w:rPr>
          <w:rFonts w:ascii="Times New Roman" w:hAnsi="Times New Roman"/>
          <w:b w:val="false"/>
          <w:i w:val="false"/>
          <w:color w:val="000000"/>
          <w:sz w:val="24"/>
        </w:rPr>
        <w:t>A recipient shall allow access by the Office of Auditor of State, the authority or the authority’s designee to all books, accounts, reports and other records pertaining to the recipient’s receipt of a grant, management of and contributions made to the recipient’s dedicated program account, and the administration of the recipient’s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21.7(4)</w:t>
      </w:r>
      <w:r>
        <w:rPr>
          <w:rFonts w:ascii="Times New Roman" w:hAnsi="Times New Roman"/>
          <w:b w:val="false"/>
          <w:i w:val="false"/>
          <w:color w:val="000000"/>
          <w:sz w:val="24"/>
        </w:rPr>
        <w:t> </w:t>
      </w:r>
      <w:r>
        <w:rPr>
          <w:rFonts w:ascii="Times New Roman" w:hAnsi="Times New Roman"/>
          <w:b w:val="false"/>
          <w:i w:val="false"/>
          <w:color w:val="000000"/>
          <w:sz w:val="24"/>
        </w:rPr>
        <w:t>Should the authority find that a recipient is not in compliance with any of the requirements for receiving a grant, the authority may employ any remedies it deems appropriate, including but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Issue a warning letter stating that continued failure to comply with grant requirements within a stated period of time will result in a more serious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Condition a future award on correcting compliance issues.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Require that some or all of the awarded funds be remitted to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Elect not to provide future award funds to the recipient until appropriate actions are taken to ensure compliance.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Prohibit a future award of funds.</w:t>
      </w:r>
    </w:p>
    <w:p>
      <w:pPr>
        <w:spacing w:before="210" w:after="0" w:line="480"/>
        <w:ind w:left="120"/>
        <w:jc w:val="both"/>
      </w:pPr>
      <w:r>
        <w:rPr>
          <w:rFonts w:ascii="Times New Roman" w:hAnsi="Times New Roman"/>
          <w:b/>
          <w:i w:val="false"/>
          <w:color w:val="000000"/>
          <w:sz w:val="24"/>
        </w:rPr>
        <w:t>261—21.8</w:t>
      </w:r>
      <w:r>
        <w:rPr>
          <w:rFonts w:ascii="Times New Roman" w:hAnsi="Times New Roman"/>
          <w:b/>
          <w:i w:val="false"/>
          <w:color w:val="000000"/>
          <w:sz w:val="24"/>
        </w:rPr>
        <w:t xml:space="preserve">(15) </w:t>
      </w:r>
      <w:r>
        <w:rPr>
          <w:rFonts w:ascii="Times New Roman" w:hAnsi="Times New Roman"/>
          <w:b/>
          <w:i w:val="false"/>
          <w:color w:val="000000"/>
          <w:sz w:val="24"/>
        </w:rPr>
        <w:t xml:space="preserve">References. </w:t>
      </w:r>
      <w:r>
        <w:rPr>
          <w:rFonts w:ascii="Times New Roman" w:hAnsi="Times New Roman"/>
          <w:b w:val="false"/>
          <w:i w:val="false"/>
          <w:color w:val="000000"/>
          <w:sz w:val="24"/>
        </w:rPr>
        <w:t>All references to the United States Code in this chapter are to the laws as in effect January 28, 2026.</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7">
        <w:r>
          <w:rPr>
            <w:rStyle w:val="Hyperlink"/>
            <w:rFonts w:ascii="Times New Roman" w:hAnsi="Times New Roman"/>
            <w:b w:val="false"/>
            <w:i w:val="false"/>
            <w:color w:val="000000"/>
            <w:sz w:val="24"/>
          </w:rPr>
          <w:t>100B.52</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House File 1002</w:t>
      </w:r>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12/1/25, effective 1/28/26]</w:t>
      </w:r>
    </w:p>
    <w:p>
      <w:pPr>
        <w:spacing w:before="0" w:after="0" w:line="480"/>
        <w:ind w:left="120"/>
        <w:jc w:val="center"/>
      </w:pPr>
      <w:r>
        <w:rPr>
          <w:rFonts w:ascii="Times New Roman" w:hAnsi="Times New Roman"/>
          <w:b w:val="false"/>
          <w:i w:val="false"/>
          <w:color w:val="000000"/>
          <w:sz w:val="24"/>
        </w:rPr>
        <w:t>[Published 12/24/25]</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12/24/25.</w:t>
      </w:r>
    </w:p>
    <w:p>
      <w:pPr>
        <w:spacing w:before="0" w:after="0" w:line="480"/>
        <w:ind w:left="120"/>
        <w:jc w:val="left"/>
      </w:pPr>
      <w:bookmarkStart w:name="lastARC" w:id="2"/>
      <w:bookmarkEnd w:id="2"/>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100B.52.pdf" Type="http://schemas.openxmlformats.org/officeDocument/2006/relationships/hyperlink" Id="rId5"/>
    <Relationship TargetMode="External" Target="https://www.legis.iowa.gov/docs/ico/chapter/15.105.pdf" Type="http://schemas.openxmlformats.org/officeDocument/2006/relationships/hyperlink" Id="rId6"/>
    <Relationship TargetMode="External" Target="https://www.legis.iowa.gov/docs/ico/chapter/147A.1.pdf" Type="http://schemas.openxmlformats.org/officeDocument/2006/relationships/hyperlink" Id="rId7"/>
    <Relationship TargetMode="External" Target="https://www.legis.iowa.gov/docs/ico/chapter/100B.52.pdf" Type="http://schemas.openxmlformats.org/officeDocument/2006/relationships/hyperlink" Id="rId8"/>
    <Relationship TargetMode="External" Target="https://www.legis.iowa.gov/docs/ico/chapter/100B.21.pdf" Type="http://schemas.openxmlformats.org/officeDocument/2006/relationships/hyperlink" Id="rId9"/>
    <Relationship TargetMode="External" Target="https://www.legis.iowa.gov/docs/ico/chapter/100B.51.pdf" Type="http://schemas.openxmlformats.org/officeDocument/2006/relationships/hyperlink" Id="rId10"/>
    <Relationship TargetMode="External" Target="https://www.legis.iowa.gov/docs/ico/chapter/80D.1A.pdf" Type="http://schemas.openxmlformats.org/officeDocument/2006/relationships/hyperlink" Id="rId11"/>
    <Relationship TargetMode="External" Target="https://www.legis.iowa.gov/docs/ico/chapter/100B.51.pdf" Type="http://schemas.openxmlformats.org/officeDocument/2006/relationships/hyperlink" Id="rId12"/>
    <Relationship TargetMode="External" Target="https://www.legis.iowa.gov/docs/ico/chapter/85.61.pdf" Type="http://schemas.openxmlformats.org/officeDocument/2006/relationships/hyperlink" Id="rId13"/>
    <Relationship TargetMode="External" Target="https://www.legis.iowa.gov/docs/ico/chapter/100B.51.pdf" Type="http://schemas.openxmlformats.org/officeDocument/2006/relationships/hyperlink" Id="rId14"/>
    <Relationship TargetMode="External" Target="https://www.legis.iowa.gov/docs/ico/chapter/100B.52.pdf" Type="http://schemas.openxmlformats.org/officeDocument/2006/relationships/hyperlink" Id="rId15"/>
    <Relationship TargetMode="External" Target="https://www.legis.iowa.gov/docs/ico/chapter/100B.52.pdf" Type="http://schemas.openxmlformats.org/officeDocument/2006/relationships/hyperlink" Id="rId16"/>
    <Relationship TargetMode="External" Target="https://www.legis.iowa.gov/docs/ico/chapter/100B.52.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