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54C" w:id="1"/>
    <w:p>
      <w:pPr>
        <w:spacing w:before="0" w:after="0" w:line="480"/>
        <w:ind w:left="120"/>
        <w:jc w:val="right"/>
      </w:pPr>
      <w:r>
        <w:rPr>
          <w:rFonts w:ascii="Times New Roman" w:hAnsi="Times New Roman"/>
          <w:b/>
          <w:i w:val="false"/>
          <w:color w:val="000000"/>
          <w:sz w:val="28"/>
        </w:rPr>
        <w:t>ARC 9854C</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fee-for-service case management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proposes to rescind Chapter 90, “Case Management Services,” and to adopt a new Chapter 90, “Fee-for-Service Case Management,”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This proposed rulemaking is being undertaken pursuant to Executive Order 10. This proposed chapter describes case management services provided to members covered under the medical assistance fee-for-service (FFS) program. Some Iowa Medicaid members are served through an FFS system where their health care providers are paid separately for each service (like an office visit, test, or procedure). This includes members who qualify for or receive services from the following FFS programs: </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Health Insurance Premium Payment (HIPP) program;</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Medicare Savings Program (MSP);</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Qualified Medicare Beneficiary (QMB);</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Specified Low-Income Medicare Beneficiary (SLMB);</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Emergency Medical Services;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Medically Needy (also known as the spenddown program); and</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Presumptive Eligibility (subject to change once ongoing eligibility is determined).</w:t>
      </w:r>
    </w:p>
    <w:p>
      <w:pPr>
        <w:pBdr>
          <w:top w:space="5"/>
        </w:pBdr>
        <w:spacing w:before="0" w:after="0" w:line="480"/>
        <w:ind w:left="120"/>
        <w:jc w:val="both"/>
      </w:pPr>
      <w:r>
        <w:rPr>
          <w:rFonts w:ascii="Times New Roman" w:hAnsi="Times New Roman"/>
          <w:b w:val="false"/>
          <w:i w:val="false"/>
          <w:color w:val="000000"/>
          <w:sz w:val="24"/>
        </w:rPr>
        <w:t>    Case management services are designed to ensure the health, safety, and welfare of members by assisting them in gaining access to appropriate and necessary medical services and interrelated social, educational, housing, transportation, vocational, and other services.</w:t>
      </w:r>
    </w:p>
    <w:p>
      <w:pPr>
        <w:spacing w:before="0" w:after="0" w:line="480"/>
        <w:ind w:left="120"/>
        <w:jc w:val="both"/>
      </w:pPr>
      <w:r>
        <w:rPr>
          <w:rFonts w:ascii="Times New Roman" w:hAnsi="Times New Roman"/>
          <w:b w:val="false"/>
          <w:i w:val="false"/>
          <w:color w:val="000000"/>
          <w:sz w:val="24"/>
        </w:rPr>
        <w:t>    This proposed chapter underwent a Red Tape Review pursuant to Executive Order 10. As a result of its review, the Department eliminated duplicative, outdated, and redundant terminology; added dates certain; and renamed the chapter to clarify that it is applicable to FFS Medicaid members.</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12,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This proposed rulemaking has no impact on State revenues.</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441—Chapter 6.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Victoria L. Daniels </w:t>
            </w:r>
            <w:r>
              <w:br/>
            </w:r>
            <w:r>
              <w:rPr>
                <w:rFonts w:ascii="Times New Roman" w:hAnsi="Times New Roman"/>
                <w:b w:val="false"/>
                <w:i w:val="false"/>
                <w:color w:val="000000"/>
                <w:sz w:val="18"/>
              </w:rPr>
              <w:t xml:space="preserve">Department of Health and Human Services </w:t>
            </w:r>
            <w:r>
              <w:br/>
            </w:r>
            <w:r>
              <w:rPr>
                <w:rFonts w:ascii="Times New Roman" w:hAnsi="Times New Roman"/>
                <w:b w:val="false"/>
                <w:i w:val="false"/>
                <w:color w:val="000000"/>
                <w:sz w:val="18"/>
              </w:rPr>
              <w:t>321 East 12th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515.829.6021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compliancerules@hhs.iowa.gov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908"/>
        <w:gridCol w:w="7282"/>
      </w:tblGrid>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10 to 10:30 a.m.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215 699 055 154 00</w:t>
            </w:r>
            <w:r>
              <w:br/>
            </w:r>
            <w:r>
              <w:rPr>
                <w:rFonts w:ascii="Times New Roman" w:hAnsi="Times New Roman"/>
                <w:b w:val="false"/>
                <w:i w:val="false"/>
                <w:color w:val="000000"/>
                <w:sz w:val="18"/>
              </w:rPr>
              <w:t xml:space="preserve"> Passcode: m6GB6cj6 </w:t>
            </w:r>
          </w:p>
        </w:tc>
      </w:tr>
      <w:tr>
        <w:trPr>
          <w:trHeight w:val="1470" w:hRule="atLeast"/>
        </w:trPr>
        <w:tc>
          <w:tcPr>
            <w:tcW w:w="3908"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January 13, 2026</w:t>
            </w:r>
            <w:r>
              <w:br/>
            </w:r>
            <w:r>
              <w:rPr>
                <w:rFonts w:ascii="Times New Roman" w:hAnsi="Times New Roman"/>
                <w:b w:val="false"/>
                <w:i w:val="false"/>
                <w:color w:val="000000"/>
                <w:sz w:val="18"/>
              </w:rPr>
              <w:t xml:space="preserve"> 2 to 2:30 p.m. </w:t>
            </w:r>
          </w:p>
        </w:tc>
        <w:tc>
          <w:tcPr>
            <w:tcW w:w="7282"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Microsoft Teams</w:t>
            </w:r>
            <w:r>
              <w:br/>
            </w:r>
            <w:r>
              <w:rPr>
                <w:rFonts w:ascii="Times New Roman" w:hAnsi="Times New Roman"/>
                <w:b w:val="false"/>
                <w:i w:val="false"/>
                <w:color w:val="000000"/>
                <w:sz w:val="18"/>
              </w:rPr>
              <w:t xml:space="preserve"> Meeting ID: 247 965 039 141 20</w:t>
            </w:r>
            <w:r>
              <w:br/>
            </w:r>
            <w:r>
              <w:rPr>
                <w:rFonts w:ascii="Times New Roman" w:hAnsi="Times New Roman"/>
                <w:b w:val="false"/>
                <w:i w:val="false"/>
                <w:color w:val="000000"/>
                <w:sz w:val="18"/>
              </w:rPr>
              <w:t xml:space="preserve"> Passcode: KU3Uu7ct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90</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90</w:t>
      </w:r>
    </w:p>
    <w:p>
      <w:pPr>
        <w:spacing w:before="0" w:after="0" w:line="480"/>
        <w:ind w:left="120"/>
        <w:jc w:val="center"/>
      </w:pPr>
      <w:r>
        <w:rPr>
          <w:rFonts w:ascii="Times New Roman" w:hAnsi="Times New Roman"/>
          <w:b w:val="false"/>
          <w:i w:val="false"/>
          <w:color w:val="000000"/>
          <w:sz w:val="21"/>
        </w:rPr>
        <w:t xml:space="preserve">FEE-FOR-SERVICE CASE MANAGEMENT </w:t>
      </w:r>
    </w:p>
    <w:p>
      <w:pPr>
        <w:spacing w:before="0" w:after="0" w:line="480"/>
        <w:ind w:left="120"/>
        <w:jc w:val="both"/>
      </w:pPr>
      <w:r>
        <w:rPr>
          <w:rFonts w:ascii="Times New Roman" w:hAnsi="Times New Roman"/>
          <w:b/>
          <w:i w:val="false"/>
          <w:color w:val="000000"/>
          <w:sz w:val="24"/>
        </w:rPr>
        <w:t>441—90.1</w:t>
      </w:r>
      <w:r>
        <w:rPr>
          <w:rFonts w:ascii="Times New Roman" w:hAnsi="Times New Roman"/>
          <w:b/>
          <w:i w:val="false"/>
          <w:color w:val="000000"/>
          <w:sz w:val="24"/>
        </w:rPr>
        <w:t xml:space="preserve">(249A)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“Adult” </w:t>
      </w:r>
      <w:r>
        <w:rPr>
          <w:rFonts w:ascii="Times New Roman" w:hAnsi="Times New Roman"/>
          <w:b w:val="false"/>
          <w:i w:val="false"/>
          <w:color w:val="000000"/>
          <w:sz w:val="24"/>
        </w:rPr>
        <w:t>means a person 18 years of age or older on the first day of the month in which service begins.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“Applicant” </w:t>
      </w:r>
      <w:r>
        <w:rPr>
          <w:rFonts w:ascii="Times New Roman" w:hAnsi="Times New Roman"/>
          <w:b w:val="false"/>
          <w:i w:val="false"/>
          <w:color w:val="000000"/>
          <w:sz w:val="24"/>
        </w:rPr>
        <w:t>means a person who has applied for an HCBS waiver or habilitation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 management” </w:t>
      </w:r>
      <w:r>
        <w:rPr>
          <w:rFonts w:ascii="Times New Roman" w:hAnsi="Times New Roman"/>
          <w:b w:val="false"/>
          <w:i w:val="false"/>
          <w:color w:val="000000"/>
          <w:sz w:val="24"/>
        </w:rPr>
        <w:t>means the categories of case management: targeted case management (TCM) and case management provided to members enrolled in a 1915(c)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“Case manager” </w:t>
      </w:r>
      <w:r>
        <w:rPr>
          <w:rFonts w:ascii="Times New Roman" w:hAnsi="Times New Roman"/>
          <w:b w:val="false"/>
          <w:i w:val="false"/>
          <w:color w:val="000000"/>
          <w:sz w:val="24"/>
        </w:rPr>
        <w:t xml:space="preserve">means the staff person providing the case management services regardless of the entity providing the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“Child” </w:t>
      </w:r>
      <w:r>
        <w:rPr>
          <w:rFonts w:ascii="Times New Roman" w:hAnsi="Times New Roman"/>
          <w:b w:val="false"/>
          <w:i w:val="false"/>
          <w:color w:val="000000"/>
          <w:sz w:val="24"/>
        </w:rPr>
        <w:t>means a person other than an adult.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“Chronic mental illness” </w:t>
      </w:r>
      <w:r>
        <w:rPr>
          <w:rFonts w:ascii="Times New Roman" w:hAnsi="Times New Roman"/>
          <w:b w:val="false"/>
          <w:i w:val="false"/>
          <w:color w:val="000000"/>
          <w:sz w:val="24"/>
        </w:rPr>
        <w:t xml:space="preserve">means a condition present in adults who have a persistent mental or emotional disorder that seriously impairs their functioning relative to such primary aspects of daily living as personal relations, living arrangements, or employment. The definition of chronic mental illness and qualifying criteria are found in </w:t>
      </w:r>
      <w:hyperlink r:id="rId6">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For purposes of this chapter, people with mental disorders resulting from Alzheimer’s disease or substance abuse shall not be considered chronically mentally 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“Core standardized assessment”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“CSA” </w:t>
      </w:r>
      <w:r>
        <w:rPr>
          <w:rFonts w:ascii="Times New Roman" w:hAnsi="Times New Roman"/>
          <w:b w:val="false"/>
          <w:i w:val="false"/>
          <w:color w:val="000000"/>
          <w:sz w:val="24"/>
        </w:rPr>
        <w:t xml:space="preserve">means an assessment instrument for determining the suitability of non-institutionally based long-term services and supports for an individual. The instrument shall be used in a uniform manner throughout the state to determine an applicant’s or member’s needs for training, support services, medical care, transportation, and other services and to develop an individual service plan to address such needs.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“Developmental disability” </w:t>
      </w:r>
      <w:r>
        <w:rPr>
          <w:rFonts w:ascii="Times New Roman" w:hAnsi="Times New Roman"/>
          <w:b w:val="false"/>
          <w:i w:val="false"/>
          <w:color w:val="000000"/>
          <w:sz w:val="24"/>
        </w:rPr>
        <w:t xml:space="preserve">means a severe, chronic disability that is determined through professionally administered screening and evaluations.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“Fee-for-service member”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“FFS member” </w:t>
      </w:r>
      <w:r>
        <w:rPr>
          <w:rFonts w:ascii="Times New Roman" w:hAnsi="Times New Roman"/>
          <w:b w:val="false"/>
          <w:i w:val="false"/>
          <w:color w:val="000000"/>
          <w:sz w:val="24"/>
        </w:rPr>
        <w:t xml:space="preserve">means a member who is not enrolled with a managed care organization.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“Home- and community-based services”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“HCBS” </w:t>
      </w:r>
      <w:r>
        <w:rPr>
          <w:rFonts w:ascii="Times New Roman" w:hAnsi="Times New Roman"/>
          <w:b w:val="false"/>
          <w:i w:val="false"/>
          <w:color w:val="000000"/>
          <w:sz w:val="24"/>
        </w:rPr>
        <w:t xml:space="preserve">means services provided pursuant to </w:t>
      </w:r>
      <w:r>
        <w:rPr>
          <w:rFonts w:ascii="Times New Roman" w:hAnsi="Times New Roman"/>
          <w:b w:val="false"/>
          <w:i w:val="false"/>
          <w:color w:val="000000"/>
          <w:sz w:val="24"/>
        </w:rPr>
        <w:t>Sections 1915(c) and 1915(i)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“Intellectual disability” </w:t>
      </w:r>
      <w:r>
        <w:rPr>
          <w:rFonts w:ascii="Times New Roman" w:hAnsi="Times New Roman"/>
          <w:b w:val="false"/>
          <w:i w:val="false"/>
          <w:color w:val="000000"/>
          <w:sz w:val="24"/>
        </w:rPr>
        <w:t xml:space="preserve">means a diagnosis of intellectual disability (intellectual developmental disorder), global developmental delay, or unspecified intellectual disability (intellectual developmental disorder). Diagnosis criteria are outlined in </w:t>
      </w:r>
      <w:hyperlink r:id="rId7">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“Major incident” </w:t>
      </w:r>
      <w:r>
        <w:rPr>
          <w:rFonts w:ascii="Times New Roman" w:hAnsi="Times New Roman"/>
          <w:b w:val="false"/>
          <w:i w:val="false"/>
          <w:color w:val="000000"/>
          <w:sz w:val="24"/>
        </w:rPr>
        <w:t>means an occurrence that involves a member who is enrolled in an HCBS waiver, TCM, or habilitation services and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Results in a physical injury to or by the member that requires a physician’s treatment or admission to a hospital;</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Results in the death of any person;</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Requires emergency mental health treatment for the member;</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Requires the intervention of law enforcement;</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 xml:space="preserve">Requires a report of child abuse pursuant to Iowa Code section </w:t>
      </w:r>
      <w:hyperlink r:id="rId8">
        <w:r>
          <w:rPr>
            <w:rStyle w:val="Hyperlink"/>
            <w:rFonts w:ascii="Times New Roman" w:hAnsi="Times New Roman"/>
            <w:b w:val="false"/>
            <w:i w:val="false"/>
            <w:color w:val="000000"/>
            <w:sz w:val="24"/>
          </w:rPr>
          <w:t>232.69</w:t>
        </w:r>
      </w:hyperlink>
      <w:r>
        <w:rPr>
          <w:rFonts w:ascii="Times New Roman" w:hAnsi="Times New Roman"/>
          <w:b w:val="false"/>
          <w:i w:val="false"/>
          <w:color w:val="000000"/>
          <w:sz w:val="24"/>
        </w:rPr>
        <w:t xml:space="preserve">, a report of dependent adult abuse pursuant to Iowa Code section </w:t>
      </w:r>
      <w:hyperlink r:id="rId9">
        <w:r>
          <w:rPr>
            <w:rStyle w:val="Hyperlink"/>
            <w:rFonts w:ascii="Times New Roman" w:hAnsi="Times New Roman"/>
            <w:b w:val="false"/>
            <w:i w:val="false"/>
            <w:color w:val="000000"/>
            <w:sz w:val="24"/>
          </w:rPr>
          <w:t>235B.3</w:t>
        </w:r>
      </w:hyperlink>
      <w:r>
        <w:rPr>
          <w:rFonts w:ascii="Times New Roman" w:hAnsi="Times New Roman"/>
          <w:b w:val="false"/>
          <w:i w:val="false"/>
          <w:color w:val="000000"/>
          <w:sz w:val="24"/>
        </w:rPr>
        <w:t xml:space="preserve">, or a report of elder abuse pursuant to Iowa Code chapter </w:t>
      </w:r>
      <w:hyperlink r:id="rId10">
        <w:r>
          <w:rPr>
            <w:rStyle w:val="Hyperlink"/>
            <w:rFonts w:ascii="Times New Roman" w:hAnsi="Times New Roman"/>
            <w:b w:val="false"/>
            <w:i w:val="false"/>
            <w:color w:val="000000"/>
            <w:sz w:val="24"/>
          </w:rPr>
          <w:t>235F</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Constitutes a prescription medication error or a pattern of medication errors that leads to the outcome in numbered paragraph “1,” “2,” or “3”; or</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Involves a member’s location being unknown by provider staff who are responsible for protective oversight.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“Managed care organization”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“MCO” </w:t>
      </w:r>
      <w:r>
        <w:rPr>
          <w:rFonts w:ascii="Times New Roman" w:hAnsi="Times New Roman"/>
          <w:b w:val="false"/>
          <w:i w:val="false"/>
          <w:color w:val="000000"/>
          <w:sz w:val="24"/>
        </w:rPr>
        <w:t xml:space="preserve">means the same as defined in </w:t>
      </w:r>
      <w:hyperlink r:id="rId11">
        <w:r>
          <w:rPr>
            <w:rStyle w:val="Hyperlink"/>
            <w:rFonts w:ascii="Times New Roman" w:hAnsi="Times New Roman"/>
            <w:b w:val="false"/>
            <w:i w:val="false"/>
            <w:color w:val="000000"/>
            <w:sz w:val="24"/>
          </w:rPr>
          <w:t>441—Chapter 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“Medical institution” </w:t>
      </w:r>
      <w:r>
        <w:rPr>
          <w:rFonts w:ascii="Times New Roman" w:hAnsi="Times New Roman"/>
          <w:b w:val="false"/>
          <w:i w:val="false"/>
          <w:color w:val="000000"/>
          <w:sz w:val="24"/>
        </w:rPr>
        <w:t xml:space="preserve">means an institution that is organized, staffed, and authorized to provide medical care as set forth in the most recent amendment to 42 CFR Section 435.1009 as amended to October 20, 2022.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“Member” </w:t>
      </w:r>
      <w:r>
        <w:rPr>
          <w:rFonts w:ascii="Times New Roman" w:hAnsi="Times New Roman"/>
          <w:b w:val="false"/>
          <w:i w:val="false"/>
          <w:color w:val="000000"/>
          <w:sz w:val="24"/>
        </w:rPr>
        <w:t xml:space="preserve">means a person who has been determined to be eligible for Medicaid under </w:t>
      </w:r>
      <w:hyperlink r:id="rId12">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“Minor incident” </w:t>
      </w:r>
      <w:r>
        <w:rPr>
          <w:rFonts w:ascii="Times New Roman" w:hAnsi="Times New Roman"/>
          <w:b w:val="false"/>
          <w:i w:val="false"/>
          <w:color w:val="000000"/>
          <w:sz w:val="24"/>
        </w:rPr>
        <w:t>means an occurrence that involves a member who is enrolled in an HCBS waiver, TCM, or habilitation services and that is not a major incident but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Results in the application of basic first aid;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Results in bruising;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Results in seizure activity;</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Results in injury to self, to others, or to property; or</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Constitutes a prescription medication error.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“Person-centered service plan”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“service plan” </w:t>
      </w:r>
      <w:r>
        <w:rPr>
          <w:rFonts w:ascii="Times New Roman" w:hAnsi="Times New Roman"/>
          <w:b w:val="false"/>
          <w:i w:val="false"/>
          <w:color w:val="000000"/>
          <w:sz w:val="24"/>
        </w:rPr>
        <w:t>means a service plan created through the person-centered planning process, directed by the member with long-term care needs or the member’s guardian or representative, to identify the member’s strengths, capabilities, preferences, needs, and desired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“Rights restriction” </w:t>
      </w:r>
      <w:r>
        <w:rPr>
          <w:rFonts w:ascii="Times New Roman" w:hAnsi="Times New Roman"/>
          <w:b w:val="false"/>
          <w:i w:val="false"/>
          <w:color w:val="000000"/>
          <w:sz w:val="24"/>
        </w:rPr>
        <w:t>means limitations not imposed on the general public in the areas of communication, mobility, finances, medical or mental health treatment, intimacy, privacy, type of work, religion, place of residence, and people with whom a member may share a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“Targeted case management” </w:t>
      </w:r>
      <w:r>
        <w:rPr>
          <w:rFonts w:ascii="Times New Roman" w:hAnsi="Times New Roman"/>
          <w:b w:val="false"/>
          <w:i w:val="false"/>
          <w:color w:val="000000"/>
          <w:sz w:val="24"/>
        </w:rPr>
        <w:t xml:space="preserve">or </w:t>
      </w:r>
      <w:r>
        <w:rPr>
          <w:rFonts w:ascii="Times New Roman" w:hAnsi="Times New Roman"/>
          <w:b w:val="false"/>
          <w:i/>
          <w:color w:val="000000"/>
          <w:sz w:val="24"/>
        </w:rPr>
        <w:t xml:space="preserve">“TCM” </w:t>
      </w:r>
      <w:r>
        <w:rPr>
          <w:rFonts w:ascii="Times New Roman" w:hAnsi="Times New Roman"/>
          <w:b w:val="false"/>
          <w:i w:val="false"/>
          <w:color w:val="000000"/>
          <w:sz w:val="24"/>
        </w:rPr>
        <w:t>means case management services furnished to assist members who are part of a targeted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“Targeted population” </w:t>
      </w:r>
      <w:r>
        <w:rPr>
          <w:rFonts w:ascii="Times New Roman" w:hAnsi="Times New Roman"/>
          <w:b w:val="false"/>
          <w:i w:val="false"/>
          <w:color w:val="000000"/>
          <w:sz w:val="24"/>
        </w:rPr>
        <w:t>means people who meet one of the following criteria:</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adult who is identified with a primary diagnosis of intellectual disability, chronic mental illness, or developmental disability; or</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A child who is eligible to receive HCBS waiver services according to </w:t>
      </w:r>
      <w:hyperlink r:id="rId13">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A member enrolled with an MCO is not part of the targeted population.</w:t>
      </w:r>
    </w:p>
    <w:p>
      <w:pPr>
        <w:spacing w:before="0" w:after="0" w:line="480"/>
        <w:ind w:left="120"/>
        <w:jc w:val="both"/>
      </w:pPr>
      <w:r>
        <w:rPr>
          <w:rFonts w:ascii="Times New Roman" w:hAnsi="Times New Roman"/>
          <w:b/>
          <w:i w:val="false"/>
          <w:color w:val="000000"/>
          <w:sz w:val="24"/>
        </w:rPr>
        <w:t>441—90.2</w:t>
      </w:r>
      <w:r>
        <w:rPr>
          <w:rFonts w:ascii="Times New Roman" w:hAnsi="Times New Roman"/>
          <w:b/>
          <w:i w:val="false"/>
          <w:color w:val="000000"/>
          <w:sz w:val="24"/>
        </w:rPr>
        <w:t xml:space="preserve">(249A) </w:t>
      </w:r>
      <w:r>
        <w:rPr>
          <w:rFonts w:ascii="Times New Roman" w:hAnsi="Times New Roman"/>
          <w:b/>
          <w:i w:val="false"/>
          <w:color w:val="000000"/>
          <w:sz w:val="24"/>
        </w:rPr>
        <w:t xml:space="preserve">Targeted case management. </w:t>
      </w:r>
      <w:r>
        <w:rPr>
          <w:rFonts w:ascii="Times New Roman" w:hAnsi="Times New Roman"/>
          <w:b w:val="false"/>
          <w:i w:val="false"/>
          <w:color w:val="000000"/>
          <w:sz w:val="24"/>
        </w:rPr>
        <w:t>This rule applies only to the case management category of TCM and the defined targeted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90.2(1)</w:t>
      </w:r>
      <w:r>
        <w:rPr>
          <w:rFonts w:ascii="Times New Roman" w:hAnsi="Times New Roman"/>
          <w:b w:val="false"/>
          <w:i w:val="false"/>
          <w:color w:val="000000"/>
          <w:sz w:val="24"/>
        </w:rPr>
        <w:t> </w:t>
      </w:r>
      <w:r>
        <w:rPr>
          <w:rFonts w:ascii="Times New Roman" w:hAnsi="Times New Roman"/>
          <w:b w:val="false"/>
          <w:i/>
          <w:color w:val="000000"/>
          <w:sz w:val="24"/>
        </w:rPr>
        <w:t xml:space="preserve">Eligibility for targeted case management. </w:t>
      </w:r>
      <w:r>
        <w:rPr>
          <w:rFonts w:ascii="Times New Roman" w:hAnsi="Times New Roman"/>
          <w:b w:val="false"/>
          <w:i w:val="false"/>
          <w:color w:val="000000"/>
          <w:sz w:val="24"/>
        </w:rPr>
        <w:t>A person who meets all of the following criteria will be eligible for TCM: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is eligible for Medicaid or is conditionally eligible under </w:t>
      </w:r>
      <w:hyperlink r:id="rId14">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person is a member of a targeted population;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person resides in a community setting or qualifies for transitional case management as set forth in subrule </w:t>
      </w:r>
      <w:hyperlink r:id="rId15">
        <w:r>
          <w:rPr>
            <w:rStyle w:val="Hyperlink"/>
            <w:rFonts w:ascii="Times New Roman" w:hAnsi="Times New Roman"/>
            <w:b w:val="false"/>
            <w:i w:val="false"/>
            <w:color w:val="000000"/>
            <w:sz w:val="24"/>
          </w:rPr>
          <w:t>90.2(4)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person has applied for TCM in accordance with the policies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person is not eligible for or enrolled in an MCO.</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90.2(2)</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need for targeted case management. </w:t>
      </w:r>
      <w:r>
        <w:rPr>
          <w:rFonts w:ascii="Times New Roman" w:hAnsi="Times New Roman"/>
          <w:b w:val="false"/>
          <w:i w:val="false"/>
          <w:color w:val="000000"/>
          <w:sz w:val="24"/>
        </w:rPr>
        <w:t xml:space="preserve">Assessment at least every 365 days since the date of identified need for TCM is required as a condition of eligibility under the medical assistance program. The TCM provider manual found on the department’s website and as amended to July 1, 2026, contains more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targeted case management. </w:t>
      </w:r>
      <w:r>
        <w:rPr>
          <w:rFonts w:ascii="Times New Roman" w:hAnsi="Times New Roman"/>
          <w:b w:val="false"/>
          <w:i w:val="false"/>
          <w:color w:val="000000"/>
          <w:sz w:val="24"/>
        </w:rPr>
        <w:t xml:space="preserve">The TCM provider shall process a received application for TCM no later than 30 days after receipt of the application. The Medicaid manual for TCM found on the department’s website and as amended to July 1, 2026, has more information.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90.2(4)</w:t>
      </w:r>
      <w:r>
        <w:rPr>
          <w:rFonts w:ascii="Times New Roman" w:hAnsi="Times New Roman"/>
          <w:b w:val="false"/>
          <w:i w:val="false"/>
          <w:color w:val="000000"/>
          <w:sz w:val="24"/>
        </w:rPr>
        <w:t> </w:t>
      </w:r>
      <w:r>
        <w:rPr>
          <w:rFonts w:ascii="Times New Roman" w:hAnsi="Times New Roman"/>
          <w:b w:val="false"/>
          <w:i/>
          <w:color w:val="000000"/>
          <w:sz w:val="24"/>
        </w:rPr>
        <w:t xml:space="preserve">Transition to a community setting. </w:t>
      </w:r>
      <w:r>
        <w:rPr>
          <w:rFonts w:ascii="Times New Roman" w:hAnsi="Times New Roman"/>
          <w:b w:val="false"/>
          <w:i w:val="false"/>
          <w:color w:val="000000"/>
          <w:sz w:val="24"/>
        </w:rPr>
        <w:t xml:space="preserve">The Medicaid manual for TCM found on the department’s website and as amended to July 1, 2026, contains information about services that may be provided to a member transitioning to a community setting. </w:t>
      </w:r>
    </w:p>
    <w:p>
      <w:pPr>
        <w:spacing w:before="210" w:after="0" w:line="480"/>
        <w:ind w:left="120"/>
        <w:jc w:val="both"/>
      </w:pPr>
      <w:r>
        <w:rPr>
          <w:rFonts w:ascii="Times New Roman" w:hAnsi="Times New Roman"/>
          <w:b/>
          <w:i w:val="false"/>
          <w:color w:val="000000"/>
          <w:sz w:val="24"/>
        </w:rPr>
        <w:t>441—90.3</w:t>
      </w:r>
      <w:r>
        <w:rPr>
          <w:rFonts w:ascii="Times New Roman" w:hAnsi="Times New Roman"/>
          <w:b/>
          <w:i w:val="false"/>
          <w:color w:val="000000"/>
          <w:sz w:val="24"/>
        </w:rPr>
        <w:t xml:space="preserve">(249A) </w:t>
      </w:r>
      <w:r>
        <w:rPr>
          <w:rFonts w:ascii="Times New Roman" w:hAnsi="Times New Roman"/>
          <w:b/>
          <w:i w:val="false"/>
          <w:color w:val="000000"/>
          <w:sz w:val="24"/>
        </w:rPr>
        <w:t xml:space="preserve">Termination of targeted case management services. </w:t>
      </w:r>
      <w:r>
        <w:rPr>
          <w:rFonts w:ascii="Times New Roman" w:hAnsi="Times New Roman"/>
          <w:b w:val="false"/>
          <w:i w:val="false"/>
          <w:color w:val="000000"/>
          <w:sz w:val="24"/>
        </w:rPr>
        <w:t>TCM shall be terminated only under the specific circumstances detailed in the Medicaid manual for TCM available on the department’s website and as amended to July 1, 2026.</w:t>
      </w:r>
    </w:p>
    <w:p>
      <w:pPr>
        <w:spacing w:before="0" w:after="0" w:line="480"/>
        <w:ind w:left="120"/>
        <w:jc w:val="both"/>
      </w:pPr>
      <w:r>
        <w:rPr>
          <w:rFonts w:ascii="Times New Roman" w:hAnsi="Times New Roman"/>
          <w:b/>
          <w:i w:val="false"/>
          <w:color w:val="000000"/>
          <w:sz w:val="24"/>
        </w:rPr>
        <w:t>441—90.4</w:t>
      </w:r>
      <w:r>
        <w:rPr>
          <w:rFonts w:ascii="Times New Roman" w:hAnsi="Times New Roman"/>
          <w:b/>
          <w:i w:val="false"/>
          <w:color w:val="000000"/>
          <w:sz w:val="24"/>
        </w:rPr>
        <w:t xml:space="preserve">(249A) </w:t>
      </w:r>
      <w:r>
        <w:rPr>
          <w:rFonts w:ascii="Times New Roman" w:hAnsi="Times New Roman"/>
          <w:b/>
          <w:i w:val="false"/>
          <w:color w:val="000000"/>
          <w:sz w:val="24"/>
        </w:rPr>
        <w:t xml:space="preserve">Case management services. </w:t>
      </w:r>
      <w:r>
        <w:rPr>
          <w:rFonts w:ascii="Times New Roman" w:hAnsi="Times New Roman"/>
          <w:b w:val="false"/>
          <w:i w:val="false"/>
          <w:color w:val="000000"/>
          <w:sz w:val="24"/>
        </w:rPr>
        <w:t>This rule applies to all categories of case management and all populations covered by case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90.4(1)</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The following shall be included in FFS case management services provided to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Initial assessments and regular reassessments must be completed for each member to determine the need for medical, social, educational, housing, transportation, vocational, or other services, as specified in the Medicaid manual for TCM available on the department’s website and as amended through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Person-centered service plan. </w:t>
      </w:r>
      <w:r>
        <w:rPr>
          <w:rFonts w:ascii="Times New Roman" w:hAnsi="Times New Roman"/>
          <w:b w:val="false"/>
          <w:i w:val="false"/>
          <w:color w:val="000000"/>
          <w:sz w:val="24"/>
        </w:rPr>
        <w:t xml:space="preserve">The case manager shall develop and revise a comprehensive, person-centered service plan at least every 365 days in accordance with the Medicaid manual for case management found on the department’s website and as amended to July 1, 2026.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Monitoring and follow-up. </w:t>
      </w:r>
      <w:r>
        <w:rPr>
          <w:rFonts w:ascii="Times New Roman" w:hAnsi="Times New Roman"/>
          <w:b w:val="false"/>
          <w:i w:val="false"/>
          <w:color w:val="000000"/>
          <w:sz w:val="24"/>
        </w:rPr>
        <w:t xml:space="preserve">The case manager shall perform monitoring activities and make contacts that are necessary to ensure the health, safety, and welfare of the member and to ensure that the person-centered service plan is effectively implemented and adequately addresses the needs of the member.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Contacts. </w:t>
      </w:r>
      <w:r>
        <w:rPr>
          <w:rFonts w:ascii="Times New Roman" w:hAnsi="Times New Roman"/>
          <w:b w:val="false"/>
          <w:i w:val="false"/>
          <w:color w:val="000000"/>
          <w:sz w:val="24"/>
        </w:rPr>
        <w:t>The case manager shall have at least one face-to-face contact with the member in the member’s residence at least quarterly. The case manager shall have at least one contact per month with the member or the member’s guardians or representatives. This contact may be face to face or by telephone.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90.4(2)</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Payment will not be made for activities otherwise within the definition of case management services when any of the following conditions exist: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activities are an integral component of another covered Medicaid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The activities constitute the direct delivery of underlying medical, social, educational, housing, transportation, vocational or other services to which a member has been referred.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activities are components of the administration of foster care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activities for which a member may be eligible are a component of the administration of another nonmedical program, such as a guardianship, child welfare or child protective services, parole, probation, or special education program, except for case management that is included in an individualized education program or individualized family service plan consistent with </w:t>
      </w:r>
      <w:r>
        <w:rPr>
          <w:rFonts w:ascii="Times New Roman" w:hAnsi="Times New Roman"/>
          <w:b w:val="false"/>
          <w:i w:val="false"/>
          <w:color w:val="000000"/>
          <w:sz w:val="24"/>
        </w:rPr>
        <w:t>Section 1903(c) of the Social Security Act</w:t>
      </w:r>
      <w:r>
        <w:rPr>
          <w:rFonts w:ascii="Times New Roman" w:hAnsi="Times New Roman"/>
          <w:b w:val="false"/>
          <w:i w:val="false"/>
          <w:color w:val="000000"/>
          <w:sz w:val="24"/>
        </w:rPr>
        <w:t xml:space="preserve"> as amended to August 1,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activities duplicate institutional discharge planning.</w:t>
      </w:r>
    </w:p>
    <w:p>
      <w:pPr>
        <w:spacing w:before="210" w:after="0" w:line="480"/>
        <w:ind w:left="120"/>
        <w:jc w:val="both"/>
      </w:pPr>
      <w:r>
        <w:rPr>
          <w:rFonts w:ascii="Times New Roman" w:hAnsi="Times New Roman"/>
          <w:b/>
          <w:i w:val="false"/>
          <w:color w:val="000000"/>
          <w:sz w:val="24"/>
        </w:rPr>
        <w:t>441—90.5</w:t>
      </w:r>
      <w:r>
        <w:rPr>
          <w:rFonts w:ascii="Times New Roman" w:hAnsi="Times New Roman"/>
          <w:b/>
          <w:i w:val="false"/>
          <w:color w:val="000000"/>
          <w:sz w:val="24"/>
        </w:rPr>
        <w:t xml:space="preserve">(249A) </w:t>
      </w:r>
      <w:r>
        <w:rPr>
          <w:rFonts w:ascii="Times New Roman" w:hAnsi="Times New Roman"/>
          <w:b/>
          <w:i w:val="false"/>
          <w:color w:val="000000"/>
          <w:sz w:val="24"/>
        </w:rPr>
        <w:t xml:space="preserve">Rights restrictions. </w:t>
      </w:r>
      <w:r>
        <w:rPr>
          <w:rFonts w:ascii="Times New Roman" w:hAnsi="Times New Roman"/>
          <w:b w:val="false"/>
          <w:i w:val="false"/>
          <w:color w:val="000000"/>
          <w:sz w:val="24"/>
        </w:rPr>
        <w:t>This rule applies to all categories of case management and all populations covered by case management. Any effort to restrict the rights of a member, or the member’s preferences or goals must be justified by a specific individualized assessed safety need and documented in the person-centered service plan. For more information, refer to the Person Centered Service Plan manual as amended to July 1, 2026, available on the department’s website.</w:t>
      </w:r>
    </w:p>
    <w:p>
      <w:pPr>
        <w:spacing w:before="210" w:after="0" w:line="480"/>
        <w:ind w:left="120"/>
        <w:jc w:val="both"/>
      </w:pPr>
      <w:r>
        <w:rPr>
          <w:rFonts w:ascii="Times New Roman" w:hAnsi="Times New Roman"/>
          <w:b/>
          <w:i w:val="false"/>
          <w:color w:val="000000"/>
          <w:sz w:val="24"/>
        </w:rPr>
        <w:t>441—90.6</w:t>
      </w:r>
      <w:r>
        <w:rPr>
          <w:rFonts w:ascii="Times New Roman" w:hAnsi="Times New Roman"/>
          <w:b/>
          <w:i w:val="false"/>
          <w:color w:val="000000"/>
          <w:sz w:val="24"/>
        </w:rPr>
        <w:t xml:space="preserve">(249A) </w:t>
      </w:r>
      <w:r>
        <w:rPr>
          <w:rFonts w:ascii="Times New Roman" w:hAnsi="Times New Roman"/>
          <w:b/>
          <w:i w:val="false"/>
          <w:color w:val="000000"/>
          <w:sz w:val="24"/>
        </w:rPr>
        <w:t xml:space="preserve">Documentation and billing. </w:t>
      </w:r>
      <w:r>
        <w:rPr>
          <w:rFonts w:ascii="Times New Roman" w:hAnsi="Times New Roman"/>
          <w:b w:val="false"/>
          <w:i w:val="false"/>
          <w:color w:val="000000"/>
          <w:sz w:val="24"/>
        </w:rPr>
        <w:t>This rule applies to all categories of case management and all populations covered by case management. The case management billing manual for case management contact documentation and billing requirements available on the department’s website and as amended to July 1, 2026, contains more information.</w:t>
      </w:r>
    </w:p>
    <w:p>
      <w:pPr>
        <w:spacing w:before="0" w:after="0" w:line="480"/>
        <w:ind w:left="120"/>
        <w:jc w:val="both"/>
      </w:pPr>
      <w:r>
        <w:rPr>
          <w:rFonts w:ascii="Times New Roman" w:hAnsi="Times New Roman"/>
          <w:b/>
          <w:i w:val="false"/>
          <w:color w:val="000000"/>
          <w:sz w:val="24"/>
        </w:rPr>
        <w:t>441—90.7</w:t>
      </w:r>
      <w:r>
        <w:rPr>
          <w:rFonts w:ascii="Times New Roman" w:hAnsi="Times New Roman"/>
          <w:b/>
          <w:i w:val="false"/>
          <w:color w:val="000000"/>
          <w:sz w:val="24"/>
        </w:rPr>
        <w:t xml:space="preserve">(249A) </w:t>
      </w:r>
      <w:r>
        <w:rPr>
          <w:rFonts w:ascii="Times New Roman" w:hAnsi="Times New Roman"/>
          <w:b/>
          <w:i w:val="false"/>
          <w:color w:val="000000"/>
          <w:sz w:val="24"/>
        </w:rPr>
        <w:t xml:space="preserve">Case management services provider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90.7(1)</w:t>
      </w:r>
      <w:r>
        <w:rPr>
          <w:rFonts w:ascii="Times New Roman" w:hAnsi="Times New Roman"/>
          <w:b w:val="false"/>
          <w:i w:val="false"/>
          <w:color w:val="000000"/>
          <w:sz w:val="24"/>
        </w:rPr>
        <w:t> </w:t>
      </w:r>
      <w:r>
        <w:rPr>
          <w:rFonts w:ascii="Times New Roman" w:hAnsi="Times New Roman"/>
          <w:b w:val="false"/>
          <w:i w:val="false"/>
          <w:color w:val="000000"/>
          <w:sz w:val="24"/>
        </w:rPr>
        <w:t>This rule applies to all categories of case management and all populations covered by case management. Major or minor incidents shall be reported according to the case management incident reporting manual available on the department’s website and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90.7(2)</w:t>
      </w:r>
      <w:r>
        <w:rPr>
          <w:rFonts w:ascii="Times New Roman" w:hAnsi="Times New Roman"/>
          <w:b w:val="false"/>
          <w:i w:val="false"/>
          <w:color w:val="000000"/>
          <w:sz w:val="24"/>
        </w:rPr>
        <w:t> </w:t>
      </w:r>
      <w:r>
        <w:rPr>
          <w:rFonts w:ascii="Times New Roman" w:hAnsi="Times New Roman"/>
          <w:b w:val="false"/>
          <w:i w:val="false"/>
          <w:color w:val="000000"/>
          <w:sz w:val="24"/>
        </w:rPr>
        <w:t>Quality assurance. Case management services providers shall cooperate with quality assurance activities conducted by Iowa Medicaid, as well as any other state or federal entity with oversight authority to ensure the health, safety, and welfare of Medicaid members. These activities may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Postpayment review of case management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Review of incident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Review of reports of abuse or neglect;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Technical assistance in determining the need for service.</w:t>
      </w:r>
    </w:p>
    <w:p>
      <w:pPr>
        <w:spacing w:before="0" w:after="0" w:line="480"/>
        <w:ind w:left="120"/>
        <w:jc w:val="both"/>
      </w:pPr>
      <w:r>
        <w:rPr>
          <w:rFonts w:ascii="Times New Roman" w:hAnsi="Times New Roman"/>
          <w:b w:val="false"/>
          <w:i w:val="false"/>
          <w:color w:val="000000"/>
          <w:sz w:val="24"/>
        </w:rPr>
        <w:t xml:space="preserve">These rules are intended to implement Iowa Code section </w:t>
      </w:r>
      <w:hyperlink r:id="rId16">
        <w:r>
          <w:rPr>
            <w:rStyle w:val="Hyperlink"/>
            <w:rFonts w:ascii="Times New Roman" w:hAnsi="Times New Roman"/>
            <w:b w:val="false"/>
            <w:i w:val="false"/>
            <w:color w:val="000000"/>
            <w:sz w:val="24"/>
          </w:rPr>
          <w:t>249A.4</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compliancerules@hhs.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ac/chapter/441.24.pdf" Type="http://schemas.openxmlformats.org/officeDocument/2006/relationships/hyperlink" Id="rId6"/>
    <Relationship TargetMode="External" Target="https://www.legis.iowa.gov/docs/iac/chapter/441.83.pdf" Type="http://schemas.openxmlformats.org/officeDocument/2006/relationships/hyperlink" Id="rId7"/>
    <Relationship TargetMode="External" Target="https://www.legis.iowa.gov/docs/ico/chapter/232.69.pdf" Type="http://schemas.openxmlformats.org/officeDocument/2006/relationships/hyperlink" Id="rId8"/>
    <Relationship TargetMode="External" Target="https://www.legis.iowa.gov/docs/ico/chapter/235B.3.pdf" Type="http://schemas.openxmlformats.org/officeDocument/2006/relationships/hyperlink" Id="rId9"/>
    <Relationship TargetMode="External" Target="https://www.legis.iowa.gov/docs/ico/chapter/235F.pdf" Type="http://schemas.openxmlformats.org/officeDocument/2006/relationships/hyperlink" Id="rId10"/>
    <Relationship TargetMode="External" Target="https://www.legis.iowa.gov/docs/iac/chapter/441.73.pdf" Type="http://schemas.openxmlformats.org/officeDocument/2006/relationships/hyperlink" Id="rId11"/>
    <Relationship TargetMode="External" Target="https://www.legis.iowa.gov/docs/iac/chapter/441.75.pdf" Type="http://schemas.openxmlformats.org/officeDocument/2006/relationships/hyperlink" Id="rId12"/>
    <Relationship TargetMode="External" Target="https://www.legis.iowa.gov/docs/iac/chapter/441.83.pdf" Type="http://schemas.openxmlformats.org/officeDocument/2006/relationships/hyperlink" Id="rId13"/>
    <Relationship TargetMode="External" Target="https://www.legis.iowa.gov/docs/iac/chapter/441.75.pdf" Type="http://schemas.openxmlformats.org/officeDocument/2006/relationships/hyperlink" Id="rId14"/>
    <Relationship TargetMode="External" Target="https://www.legis.iowa.gov/docs/iac/rule/441.90.2.pdf" Type="http://schemas.openxmlformats.org/officeDocument/2006/relationships/hyperlink" Id="rId15"/>
    <Relationship TargetMode="External" Target="https://www.legis.iowa.gov/docs/ico/chapter/249A.4.pdf" Type="http://schemas.openxmlformats.org/officeDocument/2006/relationships/hyperlink" Id="rId16"/>
    <Relationship Target="footer.xml" Type="http://schemas.openxmlformats.org/officeDocument/2006/relationships/footer"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