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0C" w:id="1"/>
    <w:p>
      <w:pPr>
        <w:spacing w:before="0" w:after="0" w:line="480"/>
        <w:ind w:left="120"/>
        <w:jc w:val="right"/>
      </w:pPr>
      <w:r>
        <w:rPr>
          <w:rFonts w:ascii="Times New Roman" w:hAnsi="Times New Roman"/>
          <w:b/>
          <w:i w:val="false"/>
          <w:color w:val="000000"/>
          <w:sz w:val="28"/>
        </w:rPr>
        <w:t>ARC 9850C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tax credits </w:t>
      </w:r>
    </w:p>
    <w:p>
      <w:pPr>
        <w:spacing w:before="0" w:after="0" w:line="480"/>
        <w:ind w:left="120"/>
        <w:jc w:val="center"/>
      </w:pP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57, “Employer Child Care Tax Credit,” Chapter 66, “Assistive Device Tax Credit,” and Chapter 76, “Aggregate Tax Credit Limit for Certain Economic Development Programs,”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15.119, 237A.31 and 422.33(9).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15.119, 237A.31 and 422.33(9) and 2025 Iowa Acts, Senate File 657.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and Iowa Code section 17A.7(2), the Authority proposes to rescind Chapters 57, 66, and 76. Chapter 57 describes the policies and procedures applicable to the Employer Child Care Tax Credit administered by the Authority pursuant to Iowa Code section 237A.31. Chapter 66 describes the policies and procedures applicable to the Assistive Device Tax Credit administered by the Authority pursuant to Iowa Code section 422.33(9). Chapter 76 describes the procedure by which the Authority, with approval of its Board, allocates the aggregate tax credit limit established in Iowa Code section 15.119.</w:t>
      </w:r>
    </w:p>
    <w:p>
      <w:pPr>
        <w:spacing w:before="0" w:after="0" w:line="480"/>
        <w:ind w:left="120"/>
        <w:jc w:val="both"/>
      </w:pPr>
      <w:r>
        <w:rPr>
          <w:rFonts w:ascii="Times New Roman" w:hAnsi="Times New Roman"/>
          <w:b w:val="false"/>
          <w:i w:val="false"/>
          <w:color w:val="000000"/>
          <w:sz w:val="24"/>
        </w:rPr>
        <w:t>    The Employer Child Care Tax Credit and Assistive Device Tax Credit were repealed by 2025 Iowa Acts, Senate File 657. That legislation also removes the requirement for the Authority to adopt a procedure for allocating the aggregate tax credit limit by rule.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relevant divisions of 2025 Iowa Acts, Senate File 657.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488"/>
        <w:gridCol w:w="9702"/>
      </w:tblGrid>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9:15 to 9:30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p>
        </w:tc>
      </w:tr>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15, 2026</w:t>
            </w:r>
            <w:r>
              <w:br/>
            </w:r>
            <w:r>
              <w:rPr>
                <w:rFonts w:ascii="Times New Roman" w:hAnsi="Times New Roman"/>
                <w:b w:val="false"/>
                <w:i w:val="false"/>
                <w:color w:val="000000"/>
                <w:sz w:val="18"/>
              </w:rPr>
              <w:t xml:space="preserve"> 9:15 to 9:30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57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66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76</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