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9C" w:id="1"/>
    <w:p>
      <w:pPr>
        <w:spacing w:before="0" w:after="0" w:line="480"/>
        <w:ind w:left="120"/>
        <w:jc w:val="right"/>
      </w:pPr>
      <w:r>
        <w:rPr>
          <w:rFonts w:ascii="Times New Roman" w:hAnsi="Times New Roman"/>
          <w:b/>
          <w:i w:val="false"/>
          <w:color w:val="000000"/>
          <w:sz w:val="28"/>
        </w:rPr>
        <w:t>ARC 9849C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sports tourism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215, “Sports Tourism Program: Marketing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15F, subchapter IV.</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15F, subchapter IV.</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215. The chapter describes the policies and procedures applicable to the Sports Tourism Program Marketing Fund administered by the Authority pursuant to Iowa Code chapter 15F, subchapter IV. The program provides eligible applicants with grants for marketing projects that actively and directly support sporting events. The Marketing Fund component of the program was repealed by 2025 Iowa Acts, Senate File 660, so this chapter is no longer necessary.</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261—Chapter 215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