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48C" w:id="1"/>
    <w:p>
      <w:pPr>
        <w:spacing w:before="0" w:after="0" w:line="480"/>
        <w:ind w:left="120"/>
        <w:jc w:val="right"/>
      </w:pPr>
      <w:r>
        <w:rPr>
          <w:rFonts w:ascii="Times New Roman" w:hAnsi="Times New Roman"/>
          <w:b/>
          <w:i w:val="false"/>
          <w:color w:val="000000"/>
          <w:sz w:val="28"/>
        </w:rPr>
        <w:t>ARC 9848C</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the Iowa health and wellness plan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74, “Iowa Health and Wellness Plan,” Iowa Administrative Code, and to adopt a new Chapter 74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249A and 249N.</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249A and 249N.</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defines and structures the Iowa Health and Wellness Plan, a medical assistance program for individuals with countable income that does not exceed 133 percent of the federal poverty level. This proposed chapter underwent a Red Tape Review pursuant to Executive Order 10. As a result, the Department removed duplicative, redundant, and outdated language and information. In addition, the Department is changing the due date for financial participation payments from the last day of the month to the fifteenth day of the month.</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12,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2,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In SFY 2024, the State share of expenditures for the Iowa Health and Wellness Plan was $188,092,652.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6.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January 13,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459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 xml:space="preserve">Department of Health and Human Services </w:t>
            </w:r>
            <w:r>
              <w:br/>
            </w:r>
            <w:r>
              <w:rPr>
                <w:rFonts w:ascii="Times New Roman" w:hAnsi="Times New Roman"/>
                <w:b w:val="false"/>
                <w:i w:val="false"/>
                <w:color w:val="000000"/>
                <w:sz w:val="18"/>
              </w:rPr>
              <w:t>Lucas State Office Building</w:t>
            </w:r>
            <w:r>
              <w:br/>
            </w:r>
            <w:r>
              <w:rPr>
                <w:rFonts w:ascii="Times New Roman" w:hAnsi="Times New Roman"/>
                <w:b w:val="false"/>
                <w:i w:val="false"/>
                <w:color w:val="000000"/>
                <w:sz w:val="18"/>
              </w:rPr>
              <w:t>321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908"/>
        <w:gridCol w:w="7282"/>
      </w:tblGrid>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10 to 10:30 a.m.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Microsoft Teams</w:t>
            </w:r>
            <w:r>
              <w:br/>
            </w:r>
            <w:r>
              <w:rPr>
                <w:rFonts w:ascii="Times New Roman" w:hAnsi="Times New Roman"/>
                <w:b w:val="false"/>
                <w:i w:val="false"/>
                <w:color w:val="000000"/>
                <w:sz w:val="18"/>
              </w:rPr>
              <w:t xml:space="preserve"> Meeting ID: 215 699 055 154 00</w:t>
            </w:r>
            <w:r>
              <w:br/>
            </w:r>
            <w:r>
              <w:rPr>
                <w:rFonts w:ascii="Times New Roman" w:hAnsi="Times New Roman"/>
                <w:b w:val="false"/>
                <w:i w:val="false"/>
                <w:color w:val="000000"/>
                <w:sz w:val="18"/>
              </w:rPr>
              <w:t xml:space="preserve"> Passcode: m6GB6cj6 </w:t>
            </w:r>
          </w:p>
        </w:tc>
      </w:tr>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2 to 2:30 p.m.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Microsoft Teams</w:t>
            </w:r>
            <w:r>
              <w:br/>
            </w:r>
            <w:r>
              <w:rPr>
                <w:rFonts w:ascii="Times New Roman" w:hAnsi="Times New Roman"/>
                <w:b w:val="false"/>
                <w:i w:val="false"/>
                <w:color w:val="000000"/>
                <w:sz w:val="18"/>
              </w:rPr>
              <w:t xml:space="preserve"> Meeting ID: 247 965 039 141 20</w:t>
            </w:r>
            <w:r>
              <w:br/>
            </w:r>
            <w:r>
              <w:rPr>
                <w:rFonts w:ascii="Times New Roman" w:hAnsi="Times New Roman"/>
                <w:b w:val="false"/>
                <w:i w:val="false"/>
                <w:color w:val="000000"/>
                <w:sz w:val="18"/>
              </w:rPr>
              <w:t xml:space="preserve"> Passcode: KU3Uu7ct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74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74</w:t>
      </w:r>
    </w:p>
    <w:p>
      <w:pPr>
        <w:spacing w:before="0" w:after="0" w:line="480"/>
        <w:ind w:left="120"/>
        <w:jc w:val="center"/>
      </w:pPr>
      <w:r>
        <w:rPr>
          <w:rFonts w:ascii="Times New Roman" w:hAnsi="Times New Roman"/>
          <w:b w:val="false"/>
          <w:i w:val="false"/>
          <w:color w:val="000000"/>
          <w:sz w:val="21"/>
        </w:rPr>
        <w:t>IOWA HEALTH AND WELLNESS PLAN</w:t>
      </w:r>
    </w:p>
    <w:p>
      <w:pPr>
        <w:spacing w:before="0" w:after="0" w:line="480"/>
        <w:ind w:left="120"/>
        <w:jc w:val="both"/>
      </w:pPr>
      <w:r>
        <w:rPr>
          <w:rFonts w:ascii="Times New Roman" w:hAnsi="Times New Roman"/>
          <w:b/>
          <w:i w:val="false"/>
          <w:color w:val="000000"/>
          <w:sz w:val="24"/>
        </w:rPr>
        <w:t>441—74.1</w:t>
      </w:r>
      <w:r>
        <w:rPr>
          <w:rFonts w:ascii="Times New Roman" w:hAnsi="Times New Roman"/>
          <w:b/>
          <w:i w:val="false"/>
          <w:color w:val="000000"/>
          <w:sz w:val="24"/>
        </w:rPr>
        <w:t xml:space="preserve">(249A,249N)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The following definitions apply to this chapter in addition to the definitions in </w:t>
      </w:r>
      <w:hyperlink r:id="rId6">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“Caretaker” </w:t>
      </w:r>
      <w:r>
        <w:rPr>
          <w:rFonts w:ascii="Times New Roman" w:hAnsi="Times New Roman"/>
          <w:b w:val="false"/>
          <w:i w:val="false"/>
          <w:color w:val="000000"/>
          <w:sz w:val="24"/>
        </w:rPr>
        <w:t xml:space="preserve">means the same as defined in rule </w:t>
      </w:r>
      <w:hyperlink r:id="rId7">
        <w:r>
          <w:rPr>
            <w:rStyle w:val="Hyperlink"/>
            <w:rFonts w:ascii="Times New Roman" w:hAnsi="Times New Roman"/>
            <w:b w:val="false"/>
            <w:i w:val="false"/>
            <w:color w:val="000000"/>
            <w:sz w:val="24"/>
          </w:rPr>
          <w:t>441—75.1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“Countable income” </w:t>
      </w:r>
      <w:r>
        <w:rPr>
          <w:rFonts w:ascii="Times New Roman" w:hAnsi="Times New Roman"/>
          <w:b w:val="false"/>
          <w:i w:val="false"/>
          <w:color w:val="000000"/>
          <w:sz w:val="24"/>
        </w:rPr>
        <w:t xml:space="preserve">means “modified adjusted gross income” (MAGI) or “household income,” as applicable, determined </w:t>
      </w:r>
      <w:r>
        <w:rPr>
          <w:rFonts w:ascii="Times New Roman" w:hAnsi="Times New Roman"/>
          <w:b w:val="false"/>
          <w:i w:val="false"/>
          <w:color w:val="000000"/>
          <w:sz w:val="24"/>
        </w:rPr>
        <w:t>pursuant to 42 U.S.C. §1396a</w:t>
      </w:r>
      <w:r>
        <w:rPr>
          <w:rFonts w:ascii="Times New Roman" w:hAnsi="Times New Roman"/>
          <w:b w:val="false"/>
          <w:i w:val="false"/>
          <w:color w:val="000000"/>
          <w:sz w:val="24"/>
        </w:rPr>
        <w:t>(e)(14)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“Enrollment period” </w:t>
      </w:r>
      <w:r>
        <w:rPr>
          <w:rFonts w:ascii="Times New Roman" w:hAnsi="Times New Roman"/>
          <w:b w:val="false"/>
          <w:i w:val="false"/>
          <w:color w:val="000000"/>
          <w:sz w:val="24"/>
        </w:rPr>
        <w:t>means the period of time for which Iowa health and wellness plan eligibility is 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“Essential health benefits” </w:t>
      </w:r>
      <w:r>
        <w:rPr>
          <w:rFonts w:ascii="Times New Roman" w:hAnsi="Times New Roman"/>
          <w:b w:val="false"/>
          <w:i w:val="false"/>
          <w:color w:val="000000"/>
          <w:sz w:val="24"/>
        </w:rPr>
        <w:t xml:space="preserve">means the essential health benefits defined at </w:t>
      </w:r>
      <w:r>
        <w:rPr>
          <w:rFonts w:ascii="Times New Roman" w:hAnsi="Times New Roman"/>
          <w:b w:val="false"/>
          <w:i w:val="false"/>
          <w:color w:val="000000"/>
          <w:sz w:val="24"/>
        </w:rPr>
        <w:t>42 U.S.C. §18022</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“Iowa dental wellness plan” </w:t>
      </w:r>
      <w:r>
        <w:rPr>
          <w:rFonts w:ascii="Times New Roman" w:hAnsi="Times New Roman"/>
          <w:b w:val="false"/>
          <w:i w:val="false"/>
          <w:color w:val="000000"/>
          <w:sz w:val="24"/>
        </w:rPr>
        <w:t xml:space="preserve">means the managed care dental benefit program set forth in </w:t>
      </w:r>
      <w:hyperlink r:id="rId8">
        <w:r>
          <w:rPr>
            <w:rStyle w:val="Hyperlink"/>
            <w:rFonts w:ascii="Times New Roman" w:hAnsi="Times New Roman"/>
            <w:b w:val="false"/>
            <w:i w:val="false"/>
            <w:color w:val="000000"/>
            <w:sz w:val="24"/>
          </w:rPr>
          <w:t>441—Chapter 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“Iowa health and wellness plan”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“IHAWP” </w:t>
      </w:r>
      <w:r>
        <w:rPr>
          <w:rFonts w:ascii="Times New Roman" w:hAnsi="Times New Roman"/>
          <w:b w:val="false"/>
          <w:i w:val="false"/>
          <w:color w:val="000000"/>
          <w:sz w:val="24"/>
        </w:rPr>
        <w:t>means the medical assistance program set forth in this chapter for individuals with countable income that does not exceed 133 percent of the federal poverty level (FPL).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“Iowa wellness plan” </w:t>
      </w:r>
      <w:r>
        <w:rPr>
          <w:rFonts w:ascii="Times New Roman" w:hAnsi="Times New Roman"/>
          <w:b w:val="false"/>
          <w:i w:val="false"/>
          <w:color w:val="000000"/>
          <w:sz w:val="24"/>
        </w:rPr>
        <w:t>means the benefits and services provided to IHAWP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“Managed care organization”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“MCO”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as defined in Iowa Code section </w:t>
      </w:r>
      <w:hyperlink r:id="rId9">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“Medical assistance”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“Medicaid” </w:t>
      </w:r>
      <w:r>
        <w:rPr>
          <w:rFonts w:ascii="Times New Roman" w:hAnsi="Times New Roman"/>
          <w:b w:val="false"/>
          <w:i w:val="false"/>
          <w:color w:val="000000"/>
          <w:sz w:val="24"/>
        </w:rPr>
        <w:t xml:space="preserve">means payment of all parts of the cost of the care and services made in accordance with </w:t>
      </w:r>
      <w:r>
        <w:rPr>
          <w:rFonts w:ascii="Times New Roman" w:hAnsi="Times New Roman"/>
          <w:b w:val="false"/>
          <w:i w:val="false"/>
          <w:color w:val="000000"/>
          <w:sz w:val="24"/>
        </w:rPr>
        <w:t>Title XIX of the Federal Social Security Act</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“Medically exempt individual” </w:t>
      </w:r>
      <w:r>
        <w:rPr>
          <w:rFonts w:ascii="Times New Roman" w:hAnsi="Times New Roman"/>
          <w:b w:val="false"/>
          <w:i w:val="false"/>
          <w:color w:val="000000"/>
          <w:sz w:val="24"/>
        </w:rPr>
        <w:t xml:space="preserve">means an individual exempt from mandatory enrollment in an alternative benefit plan pursuant to </w:t>
      </w:r>
      <w:r>
        <w:rPr>
          <w:rFonts w:ascii="Times New Roman" w:hAnsi="Times New Roman"/>
          <w:b w:val="false"/>
          <w:i w:val="false"/>
          <w:color w:val="000000"/>
          <w:sz w:val="24"/>
        </w:rPr>
        <w:t>42 CFR 440.315</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“Minimum essential coverage” </w:t>
      </w:r>
      <w:r>
        <w:rPr>
          <w:rFonts w:ascii="Times New Roman" w:hAnsi="Times New Roman"/>
          <w:b w:val="false"/>
          <w:i w:val="false"/>
          <w:color w:val="000000"/>
          <w:sz w:val="24"/>
        </w:rPr>
        <w:t xml:space="preserve">means health insurance defined in Section 5000A(f) of Subtitle D of the </w:t>
      </w:r>
      <w:r>
        <w:rPr>
          <w:rFonts w:ascii="Times New Roman" w:hAnsi="Times New Roman"/>
          <w:b w:val="false"/>
          <w:i w:val="false"/>
          <w:color w:val="000000"/>
          <w:sz w:val="24"/>
        </w:rPr>
        <w:t>Internal Revenue Code</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“Prepaid ambulatory health plan”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“PAHP” </w:t>
      </w:r>
      <w:r>
        <w:rPr>
          <w:rFonts w:ascii="Times New Roman" w:hAnsi="Times New Roman"/>
          <w:b w:val="false"/>
          <w:i w:val="false"/>
          <w:color w:val="000000"/>
          <w:sz w:val="24"/>
        </w:rPr>
        <w:t xml:space="preserve">has the meaning set forth in </w:t>
      </w:r>
      <w:r>
        <w:rPr>
          <w:rFonts w:ascii="Times New Roman" w:hAnsi="Times New Roman"/>
          <w:b w:val="false"/>
          <w:i w:val="false"/>
          <w:color w:val="000000"/>
          <w:sz w:val="24"/>
        </w:rPr>
        <w:t>42 CFR 438.2</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“Qualified employer-sponsored coverage” </w:t>
      </w:r>
      <w:r>
        <w:rPr>
          <w:rFonts w:ascii="Times New Roman" w:hAnsi="Times New Roman"/>
          <w:b w:val="false"/>
          <w:i w:val="false"/>
          <w:color w:val="000000"/>
          <w:sz w:val="24"/>
        </w:rPr>
        <w:t xml:space="preserve">is defined </w:t>
      </w:r>
      <w:r>
        <w:rPr>
          <w:rFonts w:ascii="Times New Roman" w:hAnsi="Times New Roman"/>
          <w:b w:val="false"/>
          <w:i w:val="false"/>
          <w:color w:val="000000"/>
          <w:sz w:val="24"/>
        </w:rPr>
        <w:t>pursuant to 42 U.S.C. §1396e</w:t>
      </w:r>
      <w:r>
        <w:rPr>
          <w:rFonts w:ascii="Times New Roman" w:hAnsi="Times New Roman"/>
          <w:b w:val="false"/>
          <w:i w:val="false"/>
          <w:color w:val="000000"/>
          <w:sz w:val="24"/>
        </w:rPr>
        <w:t>1(b) as amended to July 1, 2026.</w:t>
      </w:r>
    </w:p>
    <w:p>
      <w:pPr>
        <w:spacing w:before="0" w:after="0" w:line="480"/>
        <w:ind w:left="120"/>
        <w:jc w:val="both"/>
      </w:pPr>
      <w:r>
        <w:rPr>
          <w:rFonts w:ascii="Times New Roman" w:hAnsi="Times New Roman"/>
          <w:b/>
          <w:i w:val="false"/>
          <w:color w:val="000000"/>
          <w:sz w:val="24"/>
        </w:rPr>
        <w:t>441—74.2</w:t>
      </w:r>
      <w:r>
        <w:rPr>
          <w:rFonts w:ascii="Times New Roman" w:hAnsi="Times New Roman"/>
          <w:b/>
          <w:i w:val="false"/>
          <w:color w:val="000000"/>
          <w:sz w:val="24"/>
        </w:rPr>
        <w:t xml:space="preserve">(249A,249N) </w:t>
      </w:r>
      <w:r>
        <w:rPr>
          <w:rFonts w:ascii="Times New Roman" w:hAnsi="Times New Roman"/>
          <w:b/>
          <w:i w:val="false"/>
          <w:color w:val="000000"/>
          <w:sz w:val="24"/>
        </w:rPr>
        <w:t xml:space="preserve">Eligibility factors. </w:t>
      </w:r>
      <w:r>
        <w:rPr>
          <w:rFonts w:ascii="Times New Roman" w:hAnsi="Times New Roman"/>
          <w:b w:val="false"/>
          <w:i w:val="false"/>
          <w:color w:val="000000"/>
          <w:sz w:val="24"/>
        </w:rPr>
        <w:t xml:space="preserve">Except as more specifically provided in this chapter, IHAWP eligibility will be determined according to the requirements of </w:t>
      </w:r>
      <w:hyperlink r:id="rId10">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74.2(1)</w:t>
      </w:r>
      <w:r>
        <w:rPr>
          <w:rFonts w:ascii="Times New Roman" w:hAnsi="Times New Roman"/>
          <w:b w:val="false"/>
          <w:i w:val="false"/>
          <w:color w:val="000000"/>
          <w:sz w:val="24"/>
        </w:rPr>
        <w:t> </w:t>
      </w:r>
      <w:r>
        <w:rPr>
          <w:rFonts w:ascii="Times New Roman" w:hAnsi="Times New Roman"/>
          <w:b w:val="false"/>
          <w:i/>
          <w:color w:val="000000"/>
          <w:sz w:val="24"/>
        </w:rPr>
        <w:t xml:space="preserve">Persons covered. </w:t>
      </w:r>
      <w:r>
        <w:rPr>
          <w:rFonts w:ascii="Times New Roman" w:hAnsi="Times New Roman"/>
          <w:b w:val="false"/>
          <w:i w:val="false"/>
          <w:color w:val="000000"/>
          <w:sz w:val="24"/>
        </w:rPr>
        <w:t xml:space="preserve">Subject to the additional requirements of this chapter and of </w:t>
      </w:r>
      <w:hyperlink r:id="rId11">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 medical assistance under IHAWP will be available to persons 19 through 64 years of age who: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Are not eligible for medical assistance in a mandatory group under </w:t>
      </w:r>
      <w:hyperlink r:id="rId12">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Have countable income at or below 133 percent of the FPL for their household size;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Are not entitled to or enrolled in Medicare benefits under Part A or </w:t>
      </w:r>
      <w:r>
        <w:rPr>
          <w:rFonts w:ascii="Times New Roman" w:hAnsi="Times New Roman"/>
          <w:b w:val="false"/>
          <w:i w:val="false"/>
          <w:color w:val="000000"/>
          <w:sz w:val="24"/>
        </w:rPr>
        <w:t>Part B of Title XVIII of the Social Security Act</w:t>
      </w:r>
      <w:r>
        <w:rPr>
          <w:rFonts w:ascii="Times New Roman" w:hAnsi="Times New Roman"/>
          <w:b w:val="false"/>
          <w:i w:val="false"/>
          <w:color w:val="000000"/>
          <w:sz w:val="24"/>
        </w:rPr>
        <w:t xml:space="preserve"> as amended to July 1, 2026;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Are not pregnant at the time of application or reenrollment.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74.2(2)</w:t>
      </w:r>
      <w:r>
        <w:rPr>
          <w:rFonts w:ascii="Times New Roman" w:hAnsi="Times New Roman"/>
          <w:b w:val="false"/>
          <w:i w:val="false"/>
          <w:color w:val="000000"/>
          <w:sz w:val="24"/>
        </w:rPr>
        <w:t> </w:t>
      </w:r>
      <w:r>
        <w:rPr>
          <w:rFonts w:ascii="Times New Roman" w:hAnsi="Times New Roman"/>
          <w:b w:val="false"/>
          <w:i/>
          <w:color w:val="000000"/>
          <w:sz w:val="24"/>
        </w:rPr>
        <w:t xml:space="preserve">Parents or caretakers of dependent children. </w:t>
      </w:r>
      <w:r>
        <w:rPr>
          <w:rFonts w:ascii="Times New Roman" w:hAnsi="Times New Roman"/>
          <w:b w:val="false"/>
          <w:i w:val="false"/>
          <w:color w:val="000000"/>
          <w:sz w:val="24"/>
        </w:rPr>
        <w:t>All children under the age of 21 living with a parent or caretaker who will be claimed as a dependent by the parent or caretaker for state or federal income tax purposes must be enrolled in Medicaid, in the Children’s Health Insurance Program (CHIP), or in other minimum essential coverage as a condition of the parent’s or caretaker’s eligibility for IHAWP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74.2(3)</w:t>
      </w:r>
      <w:r>
        <w:rPr>
          <w:rFonts w:ascii="Times New Roman" w:hAnsi="Times New Roman"/>
          <w:b w:val="false"/>
          <w:i w:val="false"/>
          <w:color w:val="000000"/>
          <w:sz w:val="24"/>
        </w:rPr>
        <w:t> </w:t>
      </w:r>
      <w:r>
        <w:rPr>
          <w:rFonts w:ascii="Times New Roman" w:hAnsi="Times New Roman"/>
          <w:b w:val="false"/>
          <w:i/>
          <w:color w:val="000000"/>
          <w:sz w:val="24"/>
        </w:rPr>
        <w:t xml:space="preserve">Citizenship. </w:t>
      </w:r>
      <w:r>
        <w:rPr>
          <w:rFonts w:ascii="Times New Roman" w:hAnsi="Times New Roman"/>
          <w:b w:val="false"/>
          <w:i w:val="false"/>
          <w:color w:val="000000"/>
          <w:sz w:val="24"/>
        </w:rPr>
        <w:t xml:space="preserve">To be eligible for IHAWP benefits, a person must meet the citizenship requirements in </w:t>
      </w:r>
      <w:hyperlink r:id="rId13">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441—74.3</w:t>
      </w:r>
      <w:r>
        <w:rPr>
          <w:rFonts w:ascii="Times New Roman" w:hAnsi="Times New Roman"/>
          <w:b/>
          <w:i w:val="false"/>
          <w:color w:val="000000"/>
          <w:sz w:val="24"/>
        </w:rPr>
        <w:t xml:space="preserve">(249A,249N) </w:t>
      </w:r>
      <w:r>
        <w:rPr>
          <w:rFonts w:ascii="Times New Roman" w:hAnsi="Times New Roman"/>
          <w:b/>
          <w:i w:val="false"/>
          <w:color w:val="000000"/>
          <w:sz w:val="24"/>
        </w:rPr>
        <w:t xml:space="preserve">Application. </w:t>
      </w:r>
      <w:r>
        <w:rPr>
          <w:rFonts w:ascii="Times New Roman" w:hAnsi="Times New Roman"/>
          <w:b w:val="false"/>
          <w:i w:val="false"/>
          <w:color w:val="000000"/>
          <w:sz w:val="24"/>
        </w:rPr>
        <w:t xml:space="preserve">Medicaid application policies and procedures described in </w:t>
      </w:r>
      <w:hyperlink r:id="rId14">
        <w:r>
          <w:rPr>
            <w:rStyle w:val="Hyperlink"/>
            <w:rFonts w:ascii="Times New Roman" w:hAnsi="Times New Roman"/>
            <w:b w:val="false"/>
            <w:i w:val="false"/>
            <w:color w:val="000000"/>
            <w:sz w:val="24"/>
          </w:rPr>
          <w:t>441—Chapter 76</w:t>
        </w:r>
      </w:hyperlink>
      <w:r>
        <w:rPr>
          <w:rFonts w:ascii="Times New Roman" w:hAnsi="Times New Roman"/>
          <w:b w:val="false"/>
          <w:i w:val="false"/>
          <w:color w:val="000000"/>
          <w:sz w:val="24"/>
        </w:rPr>
        <w:t xml:space="preserve"> apply to applications for IHAWP.</w:t>
      </w:r>
    </w:p>
    <w:p>
      <w:pPr>
        <w:spacing w:before="0" w:after="0" w:line="480"/>
        <w:ind w:left="120"/>
        <w:jc w:val="both"/>
      </w:pPr>
      <w:r>
        <w:rPr>
          <w:rFonts w:ascii="Times New Roman" w:hAnsi="Times New Roman"/>
          <w:b/>
          <w:i w:val="false"/>
          <w:color w:val="000000"/>
          <w:sz w:val="24"/>
        </w:rPr>
        <w:t>441—74.4</w:t>
      </w:r>
      <w:r>
        <w:rPr>
          <w:rFonts w:ascii="Times New Roman" w:hAnsi="Times New Roman"/>
          <w:b/>
          <w:i w:val="false"/>
          <w:color w:val="000000"/>
          <w:sz w:val="24"/>
        </w:rPr>
        <w:t xml:space="preserve">(249A,249N) </w:t>
      </w:r>
      <w:r>
        <w:rPr>
          <w:rFonts w:ascii="Times New Roman" w:hAnsi="Times New Roman"/>
          <w:b/>
          <w:i w:val="false"/>
          <w:color w:val="000000"/>
          <w:sz w:val="24"/>
        </w:rPr>
        <w:t xml:space="preserve">Financial 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74.4(1)</w:t>
      </w:r>
      <w:r>
        <w:rPr>
          <w:rFonts w:ascii="Times New Roman" w:hAnsi="Times New Roman"/>
          <w:b w:val="false"/>
          <w:i w:val="false"/>
          <w:color w:val="000000"/>
          <w:sz w:val="24"/>
        </w:rPr>
        <w:t> </w:t>
      </w:r>
      <w:r>
        <w:rPr>
          <w:rFonts w:ascii="Times New Roman" w:hAnsi="Times New Roman"/>
          <w:b w:val="false"/>
          <w:i/>
          <w:color w:val="000000"/>
          <w:sz w:val="24"/>
        </w:rPr>
        <w:t xml:space="preserve">Countable income. </w:t>
      </w:r>
      <w:r>
        <w:rPr>
          <w:rFonts w:ascii="Times New Roman" w:hAnsi="Times New Roman"/>
          <w:b w:val="false"/>
          <w:i w:val="false"/>
          <w:color w:val="000000"/>
          <w:sz w:val="24"/>
        </w:rPr>
        <w:t>Individuals are financially eligible for IHAWP if their countable income is no more than 133 percent of the FPL as of the date of a decision on initial or ongoing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74.4(2)</w:t>
      </w:r>
      <w:r>
        <w:rPr>
          <w:rFonts w:ascii="Times New Roman" w:hAnsi="Times New Roman"/>
          <w:b w:val="false"/>
          <w:i w:val="false"/>
          <w:color w:val="000000"/>
          <w:sz w:val="24"/>
        </w:rPr>
        <w:t> </w:t>
      </w:r>
      <w:r>
        <w:rPr>
          <w:rFonts w:ascii="Times New Roman" w:hAnsi="Times New Roman"/>
          <w:b w:val="false"/>
          <w:i/>
          <w:color w:val="000000"/>
          <w:sz w:val="24"/>
        </w:rPr>
        <w:t xml:space="preserve">Household size. </w:t>
      </w:r>
      <w:r>
        <w:rPr>
          <w:rFonts w:ascii="Times New Roman" w:hAnsi="Times New Roman"/>
          <w:b w:val="false"/>
          <w:i w:val="false"/>
          <w:color w:val="000000"/>
          <w:sz w:val="24"/>
        </w:rPr>
        <w:t>For financial eligibility purposes, household size will be determined according to the MAGI methodology.</w:t>
      </w:r>
    </w:p>
    <w:p>
      <w:pPr>
        <w:spacing w:before="0" w:after="0" w:line="480"/>
        <w:ind w:left="120"/>
        <w:jc w:val="both"/>
      </w:pPr>
      <w:r>
        <w:rPr>
          <w:rFonts w:ascii="Times New Roman" w:hAnsi="Times New Roman"/>
          <w:b/>
          <w:i w:val="false"/>
          <w:color w:val="000000"/>
          <w:sz w:val="24"/>
        </w:rPr>
        <w:t>441—74.5</w:t>
      </w:r>
      <w:r>
        <w:rPr>
          <w:rFonts w:ascii="Times New Roman" w:hAnsi="Times New Roman"/>
          <w:b/>
          <w:i w:val="false"/>
          <w:color w:val="000000"/>
          <w:sz w:val="24"/>
        </w:rPr>
        <w:t xml:space="preserve">(249A,249N) </w:t>
      </w:r>
      <w:r>
        <w:rPr>
          <w:rFonts w:ascii="Times New Roman" w:hAnsi="Times New Roman"/>
          <w:b/>
          <w:i w:val="false"/>
          <w:color w:val="000000"/>
          <w:sz w:val="24"/>
        </w:rPr>
        <w:t xml:space="preserve">Enrollment period.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74.5(1)</w:t>
      </w:r>
      <w:r>
        <w:rPr>
          <w:rFonts w:ascii="Times New Roman" w:hAnsi="Times New Roman"/>
          <w:b w:val="false"/>
          <w:i w:val="false"/>
          <w:color w:val="000000"/>
          <w:sz w:val="24"/>
        </w:rPr>
        <w:t> </w:t>
      </w:r>
      <w:r>
        <w:rPr>
          <w:rFonts w:ascii="Times New Roman" w:hAnsi="Times New Roman"/>
          <w:b w:val="false"/>
          <w:i/>
          <w:color w:val="000000"/>
          <w:sz w:val="24"/>
        </w:rPr>
        <w:t xml:space="preserve">Effective dates of eligibility. </w:t>
      </w:r>
      <w:r>
        <w:rPr>
          <w:rFonts w:ascii="Times New Roman" w:hAnsi="Times New Roman"/>
          <w:b w:val="false"/>
          <w:i w:val="false"/>
          <w:color w:val="000000"/>
          <w:sz w:val="24"/>
        </w:rPr>
        <w:t>IHAWP eligibility will be effective on the first day of the month of application or the first day of the month all eligibility requirements are met, whichever is later.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74.5(2)</w:t>
      </w:r>
      <w:r>
        <w:rPr>
          <w:rFonts w:ascii="Times New Roman" w:hAnsi="Times New Roman"/>
          <w:b w:val="false"/>
          <w:i w:val="false"/>
          <w:color w:val="000000"/>
          <w:sz w:val="24"/>
        </w:rPr>
        <w:t> </w:t>
      </w:r>
      <w:r>
        <w:rPr>
          <w:rFonts w:ascii="Times New Roman" w:hAnsi="Times New Roman"/>
          <w:b w:val="false"/>
          <w:i/>
          <w:color w:val="000000"/>
          <w:sz w:val="24"/>
        </w:rPr>
        <w:t xml:space="preserve">Reinstatement. </w:t>
      </w:r>
      <w:r>
        <w:rPr>
          <w:rFonts w:ascii="Times New Roman" w:hAnsi="Times New Roman"/>
          <w:b w:val="false"/>
          <w:i w:val="false"/>
          <w:color w:val="000000"/>
          <w:sz w:val="24"/>
        </w:rPr>
        <w:t xml:space="preserve">Enrollment for IHAWP may be reinstated without a new application in accordance with </w:t>
      </w:r>
      <w:hyperlink r:id="rId15">
        <w:r>
          <w:rPr>
            <w:rStyle w:val="Hyperlink"/>
            <w:rFonts w:ascii="Times New Roman" w:hAnsi="Times New Roman"/>
            <w:b w:val="false"/>
            <w:i w:val="false"/>
            <w:color w:val="000000"/>
            <w:sz w:val="24"/>
          </w:rPr>
          <w:t>441—Chapter 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74.5(3)</w:t>
      </w:r>
      <w:r>
        <w:rPr>
          <w:rFonts w:ascii="Times New Roman" w:hAnsi="Times New Roman"/>
          <w:b w:val="false"/>
          <w:i w:val="false"/>
          <w:color w:val="000000"/>
          <w:sz w:val="24"/>
        </w:rPr>
        <w:t> </w:t>
      </w:r>
      <w:r>
        <w:rPr>
          <w:rFonts w:ascii="Times New Roman" w:hAnsi="Times New Roman"/>
          <w:b w:val="false"/>
          <w:i/>
          <w:color w:val="000000"/>
          <w:sz w:val="24"/>
        </w:rPr>
        <w:t xml:space="preserve">Presumptive eligibility. </w:t>
      </w:r>
      <w:r>
        <w:rPr>
          <w:rFonts w:ascii="Times New Roman" w:hAnsi="Times New Roman"/>
          <w:b w:val="false"/>
          <w:i w:val="false"/>
          <w:color w:val="000000"/>
          <w:sz w:val="24"/>
        </w:rPr>
        <w:t xml:space="preserve">The enrollment period is based on a presumptive eligibility determination by a qualified entity in accordance with </w:t>
      </w:r>
      <w:hyperlink r:id="rId16">
        <w:r>
          <w:rPr>
            <w:rStyle w:val="Hyperlink"/>
            <w:rFonts w:ascii="Times New Roman" w:hAnsi="Times New Roman"/>
            <w:b w:val="false"/>
            <w:i w:val="false"/>
            <w:color w:val="000000"/>
            <w:sz w:val="24"/>
          </w:rPr>
          <w:t>441—Chapter 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74.5(4)</w:t>
      </w:r>
      <w:r>
        <w:rPr>
          <w:rFonts w:ascii="Times New Roman" w:hAnsi="Times New Roman"/>
          <w:b w:val="false"/>
          <w:i w:val="false"/>
          <w:color w:val="000000"/>
          <w:sz w:val="24"/>
        </w:rPr>
        <w:t> </w:t>
      </w:r>
      <w:r>
        <w:rPr>
          <w:rFonts w:ascii="Times New Roman" w:hAnsi="Times New Roman"/>
          <w:b w:val="false"/>
          <w:i/>
          <w:color w:val="000000"/>
          <w:sz w:val="24"/>
        </w:rPr>
        <w:t xml:space="preserve">Retroactive enrollment. </w:t>
      </w:r>
      <w:r>
        <w:rPr>
          <w:rFonts w:ascii="Times New Roman" w:hAnsi="Times New Roman"/>
          <w:b w:val="false"/>
          <w:i w:val="false"/>
          <w:color w:val="000000"/>
          <w:sz w:val="24"/>
        </w:rPr>
        <w:t xml:space="preserve">Medical assistance will be available to a pregnant woman or an infant (under one year of age), or a resident of a nursing facility licensed under Iowa Code chapter </w:t>
      </w:r>
      <w:hyperlink r:id="rId17">
        <w:r>
          <w:rPr>
            <w:rStyle w:val="Hyperlink"/>
            <w:rFonts w:ascii="Times New Roman" w:hAnsi="Times New Roman"/>
            <w:b w:val="false"/>
            <w:i w:val="false"/>
            <w:color w:val="000000"/>
            <w:sz w:val="24"/>
          </w:rPr>
          <w:t>135C</w:t>
        </w:r>
      </w:hyperlink>
      <w:r>
        <w:rPr>
          <w:rFonts w:ascii="Times New Roman" w:hAnsi="Times New Roman"/>
          <w:b w:val="false"/>
          <w:i w:val="false"/>
          <w:color w:val="000000"/>
          <w:sz w:val="24"/>
        </w:rPr>
        <w:t xml:space="preserve">, for all or any of the three months preceding the month in which an application is filed when eligibility requirements are met in accordance with </w:t>
      </w:r>
      <w:hyperlink r:id="rId18">
        <w:r>
          <w:rPr>
            <w:rStyle w:val="Hyperlink"/>
            <w:rFonts w:ascii="Times New Roman" w:hAnsi="Times New Roman"/>
            <w:b w:val="false"/>
            <w:i w:val="false"/>
            <w:color w:val="000000"/>
            <w:sz w:val="24"/>
          </w:rPr>
          <w:t>441—Chapter 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441—74.6</w:t>
      </w:r>
      <w:r>
        <w:rPr>
          <w:rFonts w:ascii="Times New Roman" w:hAnsi="Times New Roman"/>
          <w:b/>
          <w:i w:val="false"/>
          <w:color w:val="000000"/>
          <w:sz w:val="24"/>
        </w:rPr>
        <w:t xml:space="preserve">(249A,249N) </w:t>
      </w:r>
      <w:r>
        <w:rPr>
          <w:rFonts w:ascii="Times New Roman" w:hAnsi="Times New Roman"/>
          <w:b/>
          <w:i w:val="false"/>
          <w:color w:val="000000"/>
          <w:sz w:val="24"/>
        </w:rPr>
        <w:t xml:space="preserve">Reporting changes.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74.6(1)</w:t>
      </w:r>
      <w:r>
        <w:rPr>
          <w:rFonts w:ascii="Times New Roman" w:hAnsi="Times New Roman"/>
          <w:b w:val="false"/>
          <w:i w:val="false"/>
          <w:color w:val="000000"/>
          <w:sz w:val="24"/>
        </w:rPr>
        <w:t> </w:t>
      </w:r>
      <w:r>
        <w:rPr>
          <w:rFonts w:ascii="Times New Roman" w:hAnsi="Times New Roman"/>
          <w:b w:val="false"/>
          <w:i/>
          <w:color w:val="000000"/>
          <w:sz w:val="24"/>
        </w:rPr>
        <w:t xml:space="preserve">Reporting requirements. </w:t>
      </w:r>
      <w:r>
        <w:rPr>
          <w:rFonts w:ascii="Times New Roman" w:hAnsi="Times New Roman"/>
          <w:b w:val="false"/>
          <w:i w:val="false"/>
          <w:color w:val="000000"/>
          <w:sz w:val="24"/>
        </w:rPr>
        <w:t xml:space="preserve">In addition to the reporting requirements in </w:t>
      </w:r>
      <w:hyperlink r:id="rId19">
        <w:r>
          <w:rPr>
            <w:rStyle w:val="Hyperlink"/>
            <w:rFonts w:ascii="Times New Roman" w:hAnsi="Times New Roman"/>
            <w:b w:val="false"/>
            <w:i w:val="false"/>
            <w:color w:val="000000"/>
            <w:sz w:val="24"/>
          </w:rPr>
          <w:t>441—Chapter 76</w:t>
        </w:r>
      </w:hyperlink>
      <w:r>
        <w:rPr>
          <w:rFonts w:ascii="Times New Roman" w:hAnsi="Times New Roman"/>
          <w:b w:val="false"/>
          <w:i w:val="false"/>
          <w:color w:val="000000"/>
          <w:sz w:val="24"/>
        </w:rPr>
        <w:t>, as a condition of ongoing enrollment, a member shall report any of the following changes no later than ten calendar days after the change takes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member enters a nonmedical institution, including but not limited to a penal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member abandons Iowa residency.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member turns 65.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member becomes entitled to or enrolled in Medicare Part A or Part B or both.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child under the age of 21 living with the member loses minimum essential coverage if the member is the child’s parent or caretaker and will claim the child as a dependent for state or federal income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member is pregnant.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74.6(2)</w:t>
      </w:r>
      <w:r>
        <w:rPr>
          <w:rFonts w:ascii="Times New Roman" w:hAnsi="Times New Roman"/>
          <w:b w:val="false"/>
          <w:i w:val="false"/>
          <w:color w:val="000000"/>
          <w:sz w:val="24"/>
        </w:rPr>
        <w:t> </w:t>
      </w:r>
      <w:r>
        <w:rPr>
          <w:rFonts w:ascii="Times New Roman" w:hAnsi="Times New Roman"/>
          <w:b w:val="false"/>
          <w:i/>
          <w:color w:val="000000"/>
          <w:sz w:val="24"/>
        </w:rPr>
        <w:t xml:space="preserve">Untimely report. </w:t>
      </w:r>
      <w:r>
        <w:rPr>
          <w:rFonts w:ascii="Times New Roman" w:hAnsi="Times New Roman"/>
          <w:b w:val="false"/>
          <w:i w:val="false"/>
          <w:color w:val="000000"/>
          <w:sz w:val="24"/>
        </w:rPr>
        <w:t xml:space="preserve">When a change is not timely reported as required by this rule, any program expenditures for care or services provided when the member was not eligible will be considered an overpayment and be subject to recovery from the member in accordance with 441—Chapters </w:t>
      </w:r>
      <w:hyperlink r:id="rId20">
        <w:r>
          <w:rPr>
            <w:rStyle w:val="Hyperlink"/>
            <w:rFonts w:ascii="Times New Roman" w:hAnsi="Times New Roman"/>
            <w:b w:val="false"/>
            <w:i w:val="false"/>
            <w:color w:val="000000"/>
            <w:sz w:val="24"/>
          </w:rPr>
          <w:t>75</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11</w:t>
        </w:r>
      </w:hyperlink>
      <w:r>
        <w:rPr>
          <w:rFonts w:ascii="Times New Roman" w:hAnsi="Times New Roman"/>
          <w:b w:val="false"/>
          <w:i w:val="false"/>
          <w:color w:val="000000"/>
          <w:sz w:val="24"/>
        </w:rPr>
        <w:t>. Program expenditures may include but are not limited to premiums and capitation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74.6(3)</w:t>
      </w:r>
      <w:r>
        <w:rPr>
          <w:rFonts w:ascii="Times New Roman" w:hAnsi="Times New Roman"/>
          <w:b w:val="false"/>
          <w:i w:val="false"/>
          <w:color w:val="000000"/>
          <w:sz w:val="24"/>
        </w:rPr>
        <w:t> </w:t>
      </w:r>
      <w:r>
        <w:rPr>
          <w:rFonts w:ascii="Times New Roman" w:hAnsi="Times New Roman"/>
          <w:b w:val="false"/>
          <w:i/>
          <w:color w:val="000000"/>
          <w:sz w:val="24"/>
        </w:rPr>
        <w:t xml:space="preserve">Effective date of change. </w:t>
      </w:r>
      <w:r>
        <w:rPr>
          <w:rFonts w:ascii="Times New Roman" w:hAnsi="Times New Roman"/>
          <w:b w:val="false"/>
          <w:i w:val="false"/>
          <w:color w:val="000000"/>
          <w:sz w:val="24"/>
        </w:rPr>
        <w:t>After enrollment, changes reported during the month that affect the member’s eligibility will be effective the first day of the next calendar month unless: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Timely notice of adverse action is required as specified in rule </w:t>
      </w:r>
      <w:hyperlink r:id="rId22">
        <w:r>
          <w:rPr>
            <w:rStyle w:val="Hyperlink"/>
            <w:rFonts w:ascii="Times New Roman" w:hAnsi="Times New Roman"/>
            <w:b w:val="false"/>
            <w:i w:val="false"/>
            <w:color w:val="000000"/>
            <w:sz w:val="24"/>
          </w:rPr>
          <w:t>441—16.2</w:t>
        </w:r>
      </w:hyperlink>
      <w:r>
        <w:rPr>
          <w:rFonts w:ascii="Times New Roman" w:hAnsi="Times New Roman"/>
          <w:b w:val="false"/>
          <w:i w:val="false"/>
          <w:color w:val="000000"/>
          <w:sz w:val="24"/>
        </w:rPr>
        <w:t>(17A);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enrollment period has expired and the member is not eligible for a new enrollment period.</w:t>
      </w:r>
    </w:p>
    <w:p>
      <w:pPr>
        <w:spacing w:before="210" w:after="0" w:line="480"/>
        <w:ind w:left="120"/>
        <w:jc w:val="both"/>
      </w:pPr>
      <w:r>
        <w:rPr>
          <w:rFonts w:ascii="Times New Roman" w:hAnsi="Times New Roman"/>
          <w:b/>
          <w:i w:val="false"/>
          <w:color w:val="000000"/>
          <w:sz w:val="24"/>
        </w:rPr>
        <w:t>441—74.7</w:t>
      </w:r>
      <w:r>
        <w:rPr>
          <w:rFonts w:ascii="Times New Roman" w:hAnsi="Times New Roman"/>
          <w:b/>
          <w:i w:val="false"/>
          <w:color w:val="000000"/>
          <w:sz w:val="24"/>
        </w:rPr>
        <w:t xml:space="preserve">(249A,249N) </w:t>
      </w:r>
      <w:r>
        <w:rPr>
          <w:rFonts w:ascii="Times New Roman" w:hAnsi="Times New Roman"/>
          <w:b/>
          <w:i w:val="false"/>
          <w:color w:val="000000"/>
          <w:sz w:val="24"/>
        </w:rPr>
        <w:t xml:space="preserve">Reenrollment. </w:t>
      </w:r>
      <w:r>
        <w:rPr>
          <w:rFonts w:ascii="Times New Roman" w:hAnsi="Times New Roman"/>
          <w:b w:val="false"/>
          <w:i w:val="false"/>
          <w:color w:val="000000"/>
          <w:sz w:val="24"/>
        </w:rPr>
        <w:t xml:space="preserve">A new eligibility determination is required to establish an enrollment period. The reenrollment process will follow the requirements in </w:t>
      </w:r>
      <w:hyperlink r:id="rId23">
        <w:r>
          <w:rPr>
            <w:rStyle w:val="Hyperlink"/>
            <w:rFonts w:ascii="Times New Roman" w:hAnsi="Times New Roman"/>
            <w:b w:val="false"/>
            <w:i w:val="false"/>
            <w:color w:val="000000"/>
            <w:sz w:val="24"/>
          </w:rPr>
          <w:t>441—Chapter 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441—74.8</w:t>
      </w:r>
      <w:r>
        <w:rPr>
          <w:rFonts w:ascii="Times New Roman" w:hAnsi="Times New Roman"/>
          <w:b/>
          <w:i w:val="false"/>
          <w:color w:val="000000"/>
          <w:sz w:val="24"/>
        </w:rPr>
        <w:t xml:space="preserve">(249A,249N) </w:t>
      </w:r>
      <w:r>
        <w:rPr>
          <w:rFonts w:ascii="Times New Roman" w:hAnsi="Times New Roman"/>
          <w:b/>
          <w:i w:val="false"/>
          <w:color w:val="000000"/>
          <w:sz w:val="24"/>
        </w:rPr>
        <w:t xml:space="preserve">Terminating enrollment. </w:t>
      </w:r>
      <w:r>
        <w:rPr>
          <w:rFonts w:ascii="Times New Roman" w:hAnsi="Times New Roman"/>
          <w:b w:val="false"/>
          <w:i w:val="false"/>
          <w:color w:val="000000"/>
          <w:sz w:val="24"/>
        </w:rPr>
        <w:t>IHAWP enrollment ends when any of the following occurs: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enrollment period ends and coverage for the next enrollment period has not been renewed.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The member becomes eligible for medical assistance in a mandatory coverage group under </w:t>
      </w:r>
      <w:hyperlink r:id="rId24">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The member is found to have been ineligible for any reason.</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The member dies.</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The member turns 65.</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The member abandons Iowa residency.</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The member becomes entitled to or enrolled in Medicare Part A or Part B or both.</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A child under the age of 21 living with the member loses minimum essential coverage, if the member is the child’s parent or caretaker and will claim the child as a dependent for state or federal income tax purposes.</w:t>
      </w:r>
    </w:p>
    <w:p>
      <w:pPr>
        <w:spacing w:before="0" w:after="0" w:line="480"/>
        <w:ind w:left="120"/>
        <w:jc w:val="both"/>
      </w:pPr>
      <w:r>
        <w:rPr>
          <w:rFonts w:ascii="Times New Roman" w:hAnsi="Times New Roman"/>
          <w:b w:val="false"/>
          <w:i w:val="false"/>
          <w:color w:val="000000"/>
          <w:sz w:val="24"/>
        </w:rPr>
        <w:t>    9.   </w:t>
      </w:r>
      <w:r>
        <w:rPr>
          <w:rFonts w:ascii="Times New Roman" w:hAnsi="Times New Roman"/>
          <w:b w:val="false"/>
          <w:i w:val="false"/>
          <w:color w:val="000000"/>
          <w:sz w:val="24"/>
        </w:rPr>
        <w:t>The member’s countable income exceeds 133 percent of the FPL.</w:t>
      </w:r>
    </w:p>
    <w:p>
      <w:pPr>
        <w:spacing w:before="0" w:after="0" w:line="480"/>
        <w:ind w:left="120"/>
        <w:jc w:val="both"/>
      </w:pPr>
      <w:r>
        <w:rPr>
          <w:rFonts w:ascii="Times New Roman" w:hAnsi="Times New Roman"/>
          <w:b w:val="false"/>
          <w:i w:val="false"/>
          <w:color w:val="000000"/>
          <w:sz w:val="24"/>
        </w:rPr>
        <w:t>    10.   </w:t>
      </w:r>
      <w:r>
        <w:rPr>
          <w:rFonts w:ascii="Times New Roman" w:hAnsi="Times New Roman"/>
          <w:b w:val="false"/>
          <w:i w:val="false"/>
          <w:color w:val="000000"/>
          <w:sz w:val="24"/>
        </w:rPr>
        <w:t xml:space="preserve">IHAWP is discontinued according to the requirements in rule </w:t>
      </w:r>
      <w:hyperlink r:id="rId25">
        <w:r>
          <w:rPr>
            <w:rStyle w:val="Hyperlink"/>
            <w:rFonts w:ascii="Times New Roman" w:hAnsi="Times New Roman"/>
            <w:b w:val="false"/>
            <w:i w:val="false"/>
            <w:color w:val="000000"/>
            <w:sz w:val="24"/>
          </w:rPr>
          <w:t>441—74.14</w:t>
        </w:r>
      </w:hyperlink>
      <w:r>
        <w:rPr>
          <w:rFonts w:ascii="Times New Roman" w:hAnsi="Times New Roman"/>
          <w:b w:val="false"/>
          <w:i w:val="false"/>
          <w:color w:val="000000"/>
          <w:sz w:val="24"/>
        </w:rPr>
        <w:t>(249A,249N).</w:t>
      </w:r>
    </w:p>
    <w:p>
      <w:pPr>
        <w:spacing w:before="0" w:after="0" w:line="480"/>
        <w:ind w:left="120"/>
        <w:jc w:val="both"/>
      </w:pPr>
      <w:r>
        <w:rPr>
          <w:rFonts w:ascii="Times New Roman" w:hAnsi="Times New Roman"/>
          <w:b w:val="false"/>
          <w:i w:val="false"/>
          <w:color w:val="000000"/>
          <w:sz w:val="24"/>
        </w:rPr>
        <w:t>    11.   </w:t>
      </w:r>
      <w:r>
        <w:rPr>
          <w:rFonts w:ascii="Times New Roman" w:hAnsi="Times New Roman"/>
          <w:b w:val="false"/>
          <w:i w:val="false"/>
          <w:color w:val="000000"/>
          <w:sz w:val="24"/>
        </w:rPr>
        <w:t xml:space="preserve">The member does not pay monthly contributions as required by subrule </w:t>
      </w:r>
      <w:hyperlink r:id="rId26">
        <w:r>
          <w:rPr>
            <w:rStyle w:val="Hyperlink"/>
            <w:rFonts w:ascii="Times New Roman" w:hAnsi="Times New Roman"/>
            <w:b w:val="false"/>
            <w:i w:val="false"/>
            <w:color w:val="000000"/>
            <w:sz w:val="24"/>
          </w:rPr>
          <w:t>74.11(2)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441—74.9</w:t>
      </w:r>
      <w:r>
        <w:rPr>
          <w:rFonts w:ascii="Times New Roman" w:hAnsi="Times New Roman"/>
          <w:b/>
          <w:i w:val="false"/>
          <w:color w:val="000000"/>
          <w:sz w:val="24"/>
        </w:rPr>
        <w:t xml:space="preserve">(249A,249N) </w:t>
      </w:r>
      <w:r>
        <w:rPr>
          <w:rFonts w:ascii="Times New Roman" w:hAnsi="Times New Roman"/>
          <w:b/>
          <w:i w:val="false"/>
          <w:color w:val="000000"/>
          <w:sz w:val="24"/>
        </w:rPr>
        <w:t xml:space="preserve">Recovery. </w:t>
      </w:r>
      <w:r>
        <w:rPr>
          <w:rFonts w:ascii="Times New Roman" w:hAnsi="Times New Roman"/>
          <w:b w:val="false"/>
          <w:i w:val="false"/>
          <w:color w:val="000000"/>
          <w:sz w:val="24"/>
        </w:rPr>
        <w:t xml:space="preserve">The department will recover from a member all Medicaid funds incorrectly expended on behalf of the member in accordance with </w:t>
      </w:r>
      <w:hyperlink r:id="rId27">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74.9(1)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recover Medicaid funds expended on behalf of a member from the member’s estate in accordance with </w:t>
      </w:r>
      <w:hyperlink r:id="rId28">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74.9(2)</w:t>
      </w:r>
      <w:r>
        <w:rPr>
          <w:rFonts w:ascii="Times New Roman" w:hAnsi="Times New Roman"/>
          <w:b w:val="false"/>
          <w:i w:val="false"/>
          <w:color w:val="000000"/>
          <w:sz w:val="24"/>
        </w:rPr>
        <w:t> </w:t>
      </w:r>
      <w:r>
        <w:rPr>
          <w:rFonts w:ascii="Times New Roman" w:hAnsi="Times New Roman"/>
          <w:b w:val="false"/>
          <w:i w:val="false"/>
          <w:color w:val="000000"/>
          <w:sz w:val="24"/>
        </w:rPr>
        <w:t>Funds received from third parties, including Medicare, by a provider other than a state mental health institute shall be reported to the department or the MCO, and an adjustment will be made to a previously submitted claim.</w:t>
      </w:r>
    </w:p>
    <w:p>
      <w:pPr>
        <w:spacing w:before="0" w:after="0" w:line="480"/>
        <w:ind w:left="120"/>
        <w:jc w:val="both"/>
      </w:pPr>
      <w:r>
        <w:rPr>
          <w:rFonts w:ascii="Times New Roman" w:hAnsi="Times New Roman"/>
          <w:b/>
          <w:i w:val="false"/>
          <w:color w:val="000000"/>
          <w:sz w:val="24"/>
        </w:rPr>
        <w:t>441—74.10</w:t>
      </w:r>
      <w:r>
        <w:rPr>
          <w:rFonts w:ascii="Times New Roman" w:hAnsi="Times New Roman"/>
          <w:b/>
          <w:i w:val="false"/>
          <w:color w:val="000000"/>
          <w:sz w:val="24"/>
        </w:rPr>
        <w:t xml:space="preserve">(249A,249N) </w:t>
      </w:r>
      <w:r>
        <w:rPr>
          <w:rFonts w:ascii="Times New Roman" w:hAnsi="Times New Roman"/>
          <w:b/>
          <w:i w:val="false"/>
          <w:color w:val="000000"/>
          <w:sz w:val="24"/>
        </w:rPr>
        <w:t xml:space="preserve">Right to appeal.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74.10(1)</w:t>
      </w:r>
      <w:r>
        <w:rPr>
          <w:rFonts w:ascii="Times New Roman" w:hAnsi="Times New Roman"/>
          <w:b w:val="false"/>
          <w:i w:val="false"/>
          <w:color w:val="000000"/>
          <w:sz w:val="24"/>
        </w:rPr>
        <w:t> </w:t>
      </w:r>
      <w:r>
        <w:rPr>
          <w:rFonts w:ascii="Times New Roman" w:hAnsi="Times New Roman"/>
          <w:b w:val="false"/>
          <w:i w:val="false"/>
          <w:color w:val="000000"/>
          <w:sz w:val="24"/>
        </w:rPr>
        <w:t xml:space="preserve">Decisions and actions by the department regarding eligibility or services provided under this chapter may be appealed to the extent permitted by </w:t>
      </w:r>
      <w:hyperlink r:id="rId29">
        <w:r>
          <w:rPr>
            <w:rStyle w:val="Hyperlink"/>
            <w:rFonts w:ascii="Times New Roman" w:hAnsi="Times New Roman"/>
            <w:b w:val="false"/>
            <w:i w:val="false"/>
            <w:color w:val="000000"/>
            <w:sz w:val="24"/>
          </w:rPr>
          <w:t>441—Chapter 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74.10(2)</w:t>
      </w:r>
      <w:r>
        <w:rPr>
          <w:rFonts w:ascii="Times New Roman" w:hAnsi="Times New Roman"/>
          <w:b w:val="false"/>
          <w:i w:val="false"/>
          <w:color w:val="000000"/>
          <w:sz w:val="24"/>
        </w:rPr>
        <w:t> </w:t>
      </w:r>
      <w:r>
        <w:rPr>
          <w:rFonts w:ascii="Times New Roman" w:hAnsi="Times New Roman"/>
          <w:b w:val="false"/>
          <w:i w:val="false"/>
          <w:color w:val="000000"/>
          <w:sz w:val="24"/>
        </w:rPr>
        <w:t xml:space="preserve">Members will not be entitled to an appeal hearing if the sole basis for denying or limiting services is discontinuance of the program pursuant to rule </w:t>
      </w:r>
      <w:hyperlink r:id="rId30">
        <w:r>
          <w:rPr>
            <w:rStyle w:val="Hyperlink"/>
            <w:rFonts w:ascii="Times New Roman" w:hAnsi="Times New Roman"/>
            <w:b w:val="false"/>
            <w:i w:val="false"/>
            <w:color w:val="000000"/>
            <w:sz w:val="24"/>
          </w:rPr>
          <w:t>441—74.14</w:t>
        </w:r>
      </w:hyperlink>
      <w:r>
        <w:rPr>
          <w:rFonts w:ascii="Times New Roman" w:hAnsi="Times New Roman"/>
          <w:b w:val="false"/>
          <w:i w:val="false"/>
          <w:color w:val="000000"/>
          <w:sz w:val="24"/>
        </w:rPr>
        <w:t>(249A,249N).</w:t>
      </w:r>
    </w:p>
    <w:p>
      <w:pPr>
        <w:spacing w:before="0" w:after="0" w:line="480"/>
        <w:ind w:left="120"/>
        <w:jc w:val="both"/>
      </w:pPr>
      <w:r>
        <w:rPr>
          <w:rFonts w:ascii="Times New Roman" w:hAnsi="Times New Roman"/>
          <w:b/>
          <w:i w:val="false"/>
          <w:color w:val="000000"/>
          <w:sz w:val="24"/>
        </w:rPr>
        <w:t>441—74.11</w:t>
      </w:r>
      <w:r>
        <w:rPr>
          <w:rFonts w:ascii="Times New Roman" w:hAnsi="Times New Roman"/>
          <w:b/>
          <w:i w:val="false"/>
          <w:color w:val="000000"/>
          <w:sz w:val="24"/>
        </w:rPr>
        <w:t xml:space="preserve">(249A) </w:t>
      </w:r>
      <w:r>
        <w:rPr>
          <w:rFonts w:ascii="Times New Roman" w:hAnsi="Times New Roman"/>
          <w:b/>
          <w:i w:val="false"/>
          <w:color w:val="000000"/>
          <w:sz w:val="24"/>
        </w:rPr>
        <w:t xml:space="preserve">Financial participation.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74.11(1)</w:t>
      </w:r>
      <w:r>
        <w:rPr>
          <w:rFonts w:ascii="Times New Roman" w:hAnsi="Times New Roman"/>
          <w:b w:val="false"/>
          <w:i w:val="false"/>
          <w:color w:val="000000"/>
          <w:sz w:val="24"/>
        </w:rPr>
        <w:t> </w:t>
      </w:r>
      <w:r>
        <w:rPr>
          <w:rFonts w:ascii="Times New Roman" w:hAnsi="Times New Roman"/>
          <w:b w:val="false"/>
          <w:i/>
          <w:color w:val="000000"/>
          <w:sz w:val="24"/>
        </w:rPr>
        <w:t xml:space="preserve">Copayment. </w:t>
      </w:r>
      <w:r>
        <w:rPr>
          <w:rFonts w:ascii="Times New Roman" w:hAnsi="Times New Roman"/>
          <w:b w:val="false"/>
          <w:i w:val="false"/>
          <w:color w:val="000000"/>
          <w:sz w:val="24"/>
        </w:rPr>
        <w:t>Payment for nonemergency use of a hospital emergency department shall be subject to an $8 copayment by the member, which will be subtracted from the IHAWP payment otherwise due to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74.11(2)</w:t>
      </w:r>
      <w:r>
        <w:rPr>
          <w:rFonts w:ascii="Times New Roman" w:hAnsi="Times New Roman"/>
          <w:b w:val="false"/>
          <w:i w:val="false"/>
          <w:color w:val="000000"/>
          <w:sz w:val="24"/>
        </w:rPr>
        <w:t> </w:t>
      </w:r>
      <w:r>
        <w:rPr>
          <w:rFonts w:ascii="Times New Roman" w:hAnsi="Times New Roman"/>
          <w:b w:val="false"/>
          <w:i/>
          <w:color w:val="000000"/>
          <w:sz w:val="24"/>
        </w:rPr>
        <w:t xml:space="preserve">Monthly contributions. </w:t>
      </w:r>
      <w:r>
        <w:rPr>
          <w:rFonts w:ascii="Times New Roman" w:hAnsi="Times New Roman"/>
          <w:b w:val="false"/>
          <w:i w:val="false"/>
          <w:color w:val="000000"/>
          <w:sz w:val="24"/>
        </w:rPr>
        <w:t>Members enrolled in the IHAWP with household income at or above 50 percent of the FPL are required to pay monthly contributions pursuant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Monthly contribution amount. </w:t>
      </w:r>
      <w:r>
        <w:rPr>
          <w:rFonts w:ascii="Times New Roman" w:hAnsi="Times New Roman"/>
          <w:b w:val="false"/>
          <w:i w:val="false"/>
          <w:color w:val="000000"/>
          <w:sz w:val="24"/>
        </w:rPr>
        <w:t xml:space="preserve">The monthly contribution amount for each member is based on the countable income of the member’s household, determined pursuant to </w:t>
      </w:r>
      <w:hyperlink r:id="rId31">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 as a percentage of the FPL for the household. Monthly contribution amounts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a member with household income between 50 and 100 percent of the FPL, $5;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a member with household income above 100 percent of the FPL, $10.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Waiver during the first year of enrollment. </w:t>
      </w:r>
      <w:r>
        <w:rPr>
          <w:rFonts w:ascii="Times New Roman" w:hAnsi="Times New Roman"/>
          <w:b w:val="false"/>
          <w:i w:val="false"/>
          <w:color w:val="000000"/>
          <w:sz w:val="24"/>
        </w:rPr>
        <w:t>The monthly contribution will be waived during the member’s first 12 months of continuous enrollment.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Monthly contribution exemptions. </w:t>
      </w:r>
      <w:r>
        <w:rPr>
          <w:rFonts w:ascii="Times New Roman" w:hAnsi="Times New Roman"/>
          <w:b w:val="false"/>
          <w:i w:val="false"/>
          <w:color w:val="000000"/>
          <w:sz w:val="24"/>
        </w:rPr>
        <w:t>A member shall be exempt from monthly contribution payments when any of the following circumstances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completed healthy behaviors pursuant to subrule </w:t>
      </w:r>
      <w:hyperlink r:id="rId32">
        <w:r>
          <w:rPr>
            <w:rStyle w:val="Hyperlink"/>
            <w:rFonts w:ascii="Times New Roman" w:hAnsi="Times New Roman"/>
            <w:b w:val="false"/>
            <w:i w:val="false"/>
            <w:color w:val="000000"/>
            <w:sz w:val="24"/>
          </w:rPr>
          <w:t>74.11(4)</w:t>
        </w:r>
      </w:hyperlink>
      <w:r>
        <w:rPr>
          <w:rFonts w:ascii="Times New Roman" w:hAnsi="Times New Roman"/>
          <w:b w:val="false"/>
          <w:i w:val="false"/>
          <w:color w:val="000000"/>
          <w:sz w:val="24"/>
        </w:rPr>
        <w:t xml:space="preserve"> in the previous enrollment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is determined by the department to be a medically exempt individual pursuant to subrule </w:t>
      </w:r>
      <w:hyperlink r:id="rId33">
        <w:r>
          <w:rPr>
            <w:rStyle w:val="Hyperlink"/>
            <w:rFonts w:ascii="Times New Roman" w:hAnsi="Times New Roman"/>
            <w:b w:val="false"/>
            <w:i w:val="false"/>
            <w:color w:val="000000"/>
            <w:sz w:val="24"/>
          </w:rPr>
          <w:t>74.12(2)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has access to cost-effective, employer-sponsored coverage and is enrolled in the health insurance premium payment program pursuant to </w:t>
      </w:r>
      <w:hyperlink r:id="rId34">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is exempt from premiums pursuant to </w:t>
      </w:r>
      <w:r>
        <w:rPr>
          <w:rFonts w:ascii="Times New Roman" w:hAnsi="Times New Roman"/>
          <w:b w:val="false"/>
          <w:i w:val="false"/>
          <w:color w:val="000000"/>
          <w:sz w:val="24"/>
        </w:rPr>
        <w:t>42 CFR 447.56(a)</w:t>
      </w:r>
      <w:r>
        <w:rPr>
          <w:rFonts w:ascii="Times New Roman" w:hAnsi="Times New Roman"/>
          <w:b w:val="false"/>
          <w:i w:val="false"/>
          <w:color w:val="000000"/>
          <w:sz w:val="24"/>
        </w:rPr>
        <w:t>(1)(x) as amended to July 1, 2026, as an Indian who is eligible to receive or has received an item or service furnished by an Indian health care provider or through referral under contract health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member claims a hardship exemption indicating that payment of the monthly contribution will be a financial hardship. The member may claim a hardship exemption by telephoning Iowa Medicaid member services, by checking the hardship box on the billing statement (for the month of the billing statement), or by submitting a written statement to the address designated by the department. The member’s hardship exemption must be received or postmarked within five working days after the monthly contribution due date. If the hardship exemption request is not made in a timely manner, the exemption shall not be granted. Members must complete the process in every month for which they wish to claim financial hardship. There is no limit to the number of hardship exemptions for which a member may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Billing and payment. </w:t>
      </w:r>
      <w:r>
        <w:rPr>
          <w:rFonts w:ascii="Times New Roman" w:hAnsi="Times New Roman"/>
          <w:b w:val="false"/>
          <w:i w:val="false"/>
          <w:color w:val="000000"/>
          <w:sz w:val="24"/>
        </w:rPr>
        <w:t>An Iowa Medicaid billing statement form will be used for billing and collection of the monthly contribution.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Method of payment. Members shall submit contribution payments to the address specified by the department. Members can also submit contributions through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Due date. When the department notifies a member of the amount of the monthly contribution, the member shall pay any monthly contributions due in accordance with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monthly contribution is due on the fifteenth day of the month in which the statement is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fifteenth day of the month falls on a weekend or state or federal holiday, payment is due on the first working day following the weekend or holiday.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Monthly contribution payments must be received or postmarked by the due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Application of payment. The department will apply monthly contribution payments received to the oldest unpaid month in the current enrollment period. When monthly contributions for all months in the enrollment period have been paid, the department will hold any excess and apply it to any months for which eligibility is subsequently 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Failure to pay monthly contributions.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 IHAWP member with household income between 50 and 100 percent of the FPL who fails to pay the assessed monthly contribution and who does not qualify for a monthly contribution exemption pursuant to subrule </w:t>
      </w:r>
      <w:hyperlink r:id="rId35">
        <w:r>
          <w:rPr>
            <w:rStyle w:val="Hyperlink"/>
            <w:rFonts w:ascii="Times New Roman" w:hAnsi="Times New Roman"/>
            <w:b w:val="false"/>
            <w:i w:val="false"/>
            <w:color w:val="000000"/>
            <w:sz w:val="24"/>
          </w:rPr>
          <w:t>74.11(2)</w:t>
        </w:r>
      </w:hyperlink>
      <w:r>
        <w:rPr>
          <w:rFonts w:ascii="Times New Roman" w:hAnsi="Times New Roman"/>
          <w:b w:val="false"/>
          <w:i w:val="false"/>
          <w:color w:val="000000"/>
          <w:sz w:val="24"/>
        </w:rPr>
        <w:t xml:space="preserve"> shall owe the monthly contribution to the department as an unpaid premium subject to recovery in accordance with </w:t>
      </w:r>
      <w:hyperlink r:id="rId36">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 A member shall have no less than 90 days from the due date to pay any unpaid monthly contribution before the unpaid amount shall be subject to recovery.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An IHAWP member with household income above 100 percent of the FPL who fails to pay the assessed monthly contribution and who does not qualify for a monthly contribution exemption pursuant to subrule </w:t>
      </w:r>
      <w:hyperlink r:id="rId37">
        <w:r>
          <w:rPr>
            <w:rStyle w:val="Hyperlink"/>
            <w:rFonts w:ascii="Times New Roman" w:hAnsi="Times New Roman"/>
            <w:b w:val="false"/>
            <w:i w:val="false"/>
            <w:color w:val="000000"/>
            <w:sz w:val="24"/>
          </w:rPr>
          <w:t>74.11(2)</w:t>
        </w:r>
      </w:hyperlink>
      <w:r>
        <w:rPr>
          <w:rFonts w:ascii="Times New Roman" w:hAnsi="Times New Roman"/>
          <w:b w:val="false"/>
          <w:i w:val="false"/>
          <w:color w:val="000000"/>
          <w:sz w:val="24"/>
        </w:rPr>
        <w:t xml:space="preserve"> will have the member’s eligibility terminated. In addition, the member shall owe the monthly contribution to the department as an unpaid premium subject to recovery in accordance with </w:t>
      </w:r>
      <w:hyperlink r:id="rId38">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 A member shall have no less than 90 days from the due date to pay any unpaid monthly contribution before the unpaid amount shall be subject to recovery.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member shall have no less than 90 days from the due date to pay any unpaid monthly contribution before eligibility will be terminated or the unpaid amount will be subject to recovery.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member whose eligibility is terminated due to nonpayment of monthly contributions may reenroll for Medicaid benefits pursuant to </w:t>
      </w:r>
      <w:hyperlink r:id="rId39">
        <w:r>
          <w:rPr>
            <w:rStyle w:val="Hyperlink"/>
            <w:rFonts w:ascii="Times New Roman" w:hAnsi="Times New Roman"/>
            <w:b w:val="false"/>
            <w:i w:val="false"/>
            <w:color w:val="000000"/>
            <w:sz w:val="24"/>
          </w:rPr>
          <w:t>441—Chapter 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Unpaid premiums will not be considered a collectible debt by the state if, at the member’s next annual renewal date, the member does not apply for renewed eligibility, and the member has no claims for services delivered after the month of the last premium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Refund of monthly contributions.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Monthly contributions paid may be refunded if the member qualified for a monthly contribution exemption pursuant to paragraph </w:t>
      </w:r>
      <w:hyperlink r:id="rId40">
        <w:r>
          <w:rPr>
            <w:rStyle w:val="Hyperlink"/>
            <w:rFonts w:ascii="Times New Roman" w:hAnsi="Times New Roman"/>
            <w:b w:val="false"/>
            <w:i w:val="false"/>
            <w:color w:val="000000"/>
            <w:sz w:val="24"/>
          </w:rPr>
          <w:t>74.11(2)</w:t>
        </w:r>
      </w:hyperlink>
      <w:r>
        <w:rPr>
          <w:rFonts w:ascii="Times New Roman" w:hAnsi="Times New Roman"/>
          <w:b w:val="false"/>
          <w:i/>
          <w:color w:val="000000"/>
          <w:sz w:val="24"/>
        </w:rPr>
        <w:t>“c”</w:t>
      </w:r>
      <w:r>
        <w:rPr>
          <w:rFonts w:ascii="Times New Roman" w:hAnsi="Times New Roman"/>
          <w:b w:val="false"/>
          <w:i w:val="false"/>
          <w:color w:val="000000"/>
          <w:sz w:val="24"/>
        </w:rPr>
        <w:t xml:space="preserve"> or when a member’s IHAWP coverage is terminated for the following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is no longer eligible for coverage in IHAWP;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 dies.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amount of any refund will be offset by any outstanding monthly contributions 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refund will be paid within two calendar months from the date of termination from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74.11(3)</w:t>
      </w:r>
      <w:r>
        <w:rPr>
          <w:rFonts w:ascii="Times New Roman" w:hAnsi="Times New Roman"/>
          <w:b w:val="false"/>
          <w:i w:val="false"/>
          <w:color w:val="000000"/>
          <w:sz w:val="24"/>
        </w:rPr>
        <w:t> </w:t>
      </w:r>
      <w:r>
        <w:rPr>
          <w:rFonts w:ascii="Times New Roman" w:hAnsi="Times New Roman"/>
          <w:b w:val="false"/>
          <w:i/>
          <w:color w:val="000000"/>
          <w:sz w:val="24"/>
        </w:rPr>
        <w:t xml:space="preserve">Aggregate annual limits on copayments and monthly contributions. </w:t>
      </w:r>
      <w:r>
        <w:rPr>
          <w:rFonts w:ascii="Times New Roman" w:hAnsi="Times New Roman"/>
          <w:b w:val="false"/>
          <w:i w:val="false"/>
          <w:color w:val="000000"/>
          <w:sz w:val="24"/>
        </w:rPr>
        <w:t xml:space="preserve">The total aggregate annual amount of copayments and monthly contributions for an individual will not exceed 5 percent of the household’s countable annual income determined pursuant to </w:t>
      </w:r>
      <w:hyperlink r:id="rId41">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74.11(4)</w:t>
      </w:r>
      <w:r>
        <w:rPr>
          <w:rFonts w:ascii="Times New Roman" w:hAnsi="Times New Roman"/>
          <w:b w:val="false"/>
          <w:i w:val="false"/>
          <w:color w:val="000000"/>
          <w:sz w:val="24"/>
        </w:rPr>
        <w:t> </w:t>
      </w:r>
      <w:r>
        <w:rPr>
          <w:rFonts w:ascii="Times New Roman" w:hAnsi="Times New Roman"/>
          <w:b w:val="false"/>
          <w:i/>
          <w:color w:val="000000"/>
          <w:sz w:val="24"/>
        </w:rPr>
        <w:t xml:space="preserve">Healthy behaviors. </w:t>
      </w:r>
      <w:r>
        <w:rPr>
          <w:rFonts w:ascii="Times New Roman" w:hAnsi="Times New Roman"/>
          <w:b w:val="false"/>
          <w:i w:val="false"/>
          <w:color w:val="000000"/>
          <w:sz w:val="24"/>
        </w:rPr>
        <w:t>An IHAWP member who completes a wellness examination and health risk assessment during any enrollment year will have monthly contributions waived in the subsequent enrollment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Under healthy behaviors, a wellness examination may be related to either physical health or oral health. Physical examinations must be performed by a medical provider and must assess a member’s overall physical health consistent with standard clinical guidelines for preventive physical examinations and as defined by the department. Oral examinations must be performed by a dental provider consistent with standard oral health guidelines for preventive dental examinations and as outlined in </w:t>
      </w:r>
      <w:hyperlink r:id="rId42">
        <w:r>
          <w:rPr>
            <w:rStyle w:val="Hyperlink"/>
            <w:rFonts w:ascii="Times New Roman" w:hAnsi="Times New Roman"/>
            <w:b w:val="false"/>
            <w:i w:val="false"/>
            <w:color w:val="000000"/>
            <w:sz w:val="24"/>
          </w:rPr>
          <w:t>441—Chapter 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health risk assessment is an assessment offered by a managed care plan through which the member is receiving IHAWP benefits.</w:t>
      </w:r>
    </w:p>
    <w:p>
      <w:pPr>
        <w:spacing w:before="0" w:after="0" w:line="480"/>
        <w:ind w:left="120"/>
        <w:jc w:val="both"/>
      </w:pPr>
      <w:r>
        <w:rPr>
          <w:rFonts w:ascii="Times New Roman" w:hAnsi="Times New Roman"/>
          <w:b/>
          <w:i w:val="false"/>
          <w:color w:val="000000"/>
          <w:sz w:val="24"/>
        </w:rPr>
        <w:t>441—74.12</w:t>
      </w:r>
      <w:r>
        <w:rPr>
          <w:rFonts w:ascii="Times New Roman" w:hAnsi="Times New Roman"/>
          <w:b/>
          <w:i w:val="false"/>
          <w:color w:val="000000"/>
          <w:sz w:val="24"/>
        </w:rPr>
        <w:t xml:space="preserve">(249A) </w:t>
      </w:r>
      <w:r>
        <w:rPr>
          <w:rFonts w:ascii="Times New Roman" w:hAnsi="Times New Roman"/>
          <w:b/>
          <w:i w:val="false"/>
          <w:color w:val="000000"/>
          <w:sz w:val="24"/>
        </w:rPr>
        <w:t xml:space="preserve">Benefits and service delivery. </w:t>
      </w:r>
      <w:r>
        <w:rPr>
          <w:rFonts w:ascii="Times New Roman" w:hAnsi="Times New Roman"/>
          <w:b w:val="false"/>
          <w:i w:val="false"/>
          <w:color w:val="000000"/>
          <w:sz w:val="24"/>
        </w:rPr>
        <w:t>Covered benefits and the service delivery method will be determined by the member’s health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74.12(1)</w:t>
      </w:r>
      <w:r>
        <w:rPr>
          <w:rFonts w:ascii="Times New Roman" w:hAnsi="Times New Roman"/>
          <w:b w:val="false"/>
          <w:i w:val="false"/>
          <w:color w:val="000000"/>
          <w:sz w:val="24"/>
        </w:rPr>
        <w:t> </w:t>
      </w:r>
      <w:r>
        <w:rPr>
          <w:rFonts w:ascii="Times New Roman" w:hAnsi="Times New Roman"/>
          <w:b w:val="false"/>
          <w:i/>
          <w:color w:val="000000"/>
          <w:sz w:val="24"/>
        </w:rPr>
        <w:t xml:space="preserve">Iowa wellness plan services. </w:t>
      </w:r>
      <w:r>
        <w:rPr>
          <w:rFonts w:ascii="Times New Roman" w:hAnsi="Times New Roman"/>
          <w:b w:val="false"/>
          <w:i w:val="false"/>
          <w:color w:val="000000"/>
          <w:sz w:val="24"/>
        </w:rPr>
        <w:t>Members shall be enrolled in IHAWP unless the member is determined by the department to be a medically exempt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Covered Iowa wellness plan services are essential health benefits; all other benefits required </w:t>
      </w:r>
      <w:r>
        <w:rPr>
          <w:rFonts w:ascii="Times New Roman" w:hAnsi="Times New Roman"/>
          <w:b w:val="false"/>
          <w:i w:val="false"/>
          <w:color w:val="000000"/>
          <w:sz w:val="24"/>
        </w:rPr>
        <w:t>pursuant to 42 U.S.C. §1396u</w:t>
      </w:r>
      <w:r>
        <w:rPr>
          <w:rFonts w:ascii="Times New Roman" w:hAnsi="Times New Roman"/>
          <w:b w:val="false"/>
          <w:i w:val="false"/>
          <w:color w:val="000000"/>
          <w:sz w:val="24"/>
        </w:rPr>
        <w:t xml:space="preserve">-7(b)(1)(B) as amended to July 1, 2026, including prescription drugs; and dental services consistent with </w:t>
      </w:r>
      <w:hyperlink r:id="rId43">
        <w:r>
          <w:rPr>
            <w:rStyle w:val="Hyperlink"/>
            <w:rFonts w:ascii="Times New Roman" w:hAnsi="Times New Roman"/>
            <w:b w:val="false"/>
            <w:i w:val="false"/>
            <w:color w:val="000000"/>
            <w:sz w:val="24"/>
          </w:rPr>
          <w:t>441—Chapter 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Members enrolled in IHAWP shall be subject to enrollment in managed care, other than program for all-inclusive care for the elderly (PACE) programs, pursuant to </w:t>
      </w:r>
      <w:hyperlink r:id="rId44">
        <w:r>
          <w:rPr>
            <w:rStyle w:val="Hyperlink"/>
            <w:rFonts w:ascii="Times New Roman" w:hAnsi="Times New Roman"/>
            <w:b w:val="false"/>
            <w:i w:val="false"/>
            <w:color w:val="000000"/>
            <w:sz w:val="24"/>
          </w:rPr>
          <w:t>441—Chapter 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Dental services will be provided under the Iowa dental wellness plan as set forth in </w:t>
      </w:r>
      <w:hyperlink r:id="rId45">
        <w:r>
          <w:rPr>
            <w:rStyle w:val="Hyperlink"/>
            <w:rFonts w:ascii="Times New Roman" w:hAnsi="Times New Roman"/>
            <w:b w:val="false"/>
            <w:i w:val="false"/>
            <w:color w:val="000000"/>
            <w:sz w:val="24"/>
          </w:rPr>
          <w:t>441—Chapter 73</w:t>
        </w:r>
      </w:hyperlink>
      <w:r>
        <w:rPr>
          <w:rFonts w:ascii="Times New Roman" w:hAnsi="Times New Roman"/>
          <w:b w:val="false"/>
          <w:i w:val="false"/>
          <w:color w:val="000000"/>
          <w:sz w:val="24"/>
        </w:rPr>
        <w:t xml:space="preserve"> through a contract with one or more dental prepaid ambulatory health plans. The dental prepaid ambulatory health plan shall provide the member with a dental card identifying the member as eligible for dental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74.12(2)</w:t>
      </w:r>
      <w:r>
        <w:rPr>
          <w:rFonts w:ascii="Times New Roman" w:hAnsi="Times New Roman"/>
          <w:b w:val="false"/>
          <w:i w:val="false"/>
          <w:color w:val="000000"/>
          <w:sz w:val="24"/>
        </w:rPr>
        <w:t> </w:t>
      </w:r>
      <w:r>
        <w:rPr>
          <w:rFonts w:ascii="Times New Roman" w:hAnsi="Times New Roman"/>
          <w:b w:val="false"/>
          <w:i/>
          <w:color w:val="000000"/>
          <w:sz w:val="24"/>
        </w:rPr>
        <w:t xml:space="preserve">Medically exempt individuals. </w:t>
      </w:r>
      <w:r>
        <w:rPr>
          <w:rFonts w:ascii="Times New Roman" w:hAnsi="Times New Roman"/>
          <w:b w:val="false"/>
          <w:i w:val="false"/>
          <w:color w:val="000000"/>
          <w:sz w:val="24"/>
        </w:rPr>
        <w:t xml:space="preserve">An IHAWP member who has been determined by the department to be a medically exempt individual will be given the choice of the benefits and service delivery method provided by the Iowa wellness plan or receiving benefits and services pursuant to </w:t>
      </w:r>
      <w:hyperlink r:id="rId46">
        <w:r>
          <w:rPr>
            <w:rStyle w:val="Hyperlink"/>
            <w:rFonts w:ascii="Times New Roman" w:hAnsi="Times New Roman"/>
            <w:b w:val="false"/>
            <w:i w:val="false"/>
            <w:color w:val="000000"/>
            <w:sz w:val="24"/>
          </w:rPr>
          <w:t>441—Chapter 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provider with a current national provider identifier number may refer a member for a medically exempt individual determination by submitting a completed form prescribed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Upon receipt of the appropriate forms, the department will determine whether the member qualifies as a medically exempt individual in accordance with </w:t>
      </w:r>
      <w:r>
        <w:rPr>
          <w:rFonts w:ascii="Times New Roman" w:hAnsi="Times New Roman"/>
          <w:b w:val="false"/>
          <w:i w:val="false"/>
          <w:color w:val="000000"/>
          <w:sz w:val="24"/>
        </w:rPr>
        <w:t>42 CFR 440.315</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74.12(3)</w:t>
      </w:r>
      <w:r>
        <w:rPr>
          <w:rFonts w:ascii="Times New Roman" w:hAnsi="Times New Roman"/>
          <w:b w:val="false"/>
          <w:i w:val="false"/>
          <w:color w:val="000000"/>
          <w:sz w:val="24"/>
        </w:rPr>
        <w:t> </w:t>
      </w:r>
      <w:r>
        <w:rPr>
          <w:rFonts w:ascii="Times New Roman" w:hAnsi="Times New Roman"/>
          <w:b w:val="false"/>
          <w:i/>
          <w:color w:val="000000"/>
          <w:sz w:val="24"/>
        </w:rPr>
        <w:t xml:space="preserve">Qualified employer-sponsored coverage. </w:t>
      </w:r>
      <w:r>
        <w:rPr>
          <w:rFonts w:ascii="Times New Roman" w:hAnsi="Times New Roman"/>
          <w:b w:val="false"/>
          <w:i w:val="false"/>
          <w:color w:val="000000"/>
          <w:sz w:val="24"/>
        </w:rPr>
        <w:t xml:space="preserve">An individual who has access to cost-effective, employer-sponsored coverage shall be subject to enrollment in the health insurance premium payment program pursuant to </w:t>
      </w:r>
      <w:hyperlink r:id="rId47">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441—74.13</w:t>
      </w:r>
      <w:r>
        <w:rPr>
          <w:rFonts w:ascii="Times New Roman" w:hAnsi="Times New Roman"/>
          <w:b/>
          <w:i w:val="false"/>
          <w:color w:val="000000"/>
          <w:sz w:val="24"/>
        </w:rPr>
        <w:t xml:space="preserve">(249A,249N) </w:t>
      </w:r>
      <w:r>
        <w:rPr>
          <w:rFonts w:ascii="Times New Roman" w:hAnsi="Times New Roman"/>
          <w:b/>
          <w:i w:val="false"/>
          <w:color w:val="000000"/>
          <w:sz w:val="24"/>
        </w:rPr>
        <w:t xml:space="preserve">Claims and reimbursement methodologies. </w:t>
      </w:r>
      <w:r>
        <w:rPr>
          <w:rFonts w:ascii="Times New Roman" w:hAnsi="Times New Roman"/>
          <w:b w:val="false"/>
          <w:i w:val="false"/>
          <w:color w:val="000000"/>
          <w:sz w:val="24"/>
        </w:rPr>
        <w:t xml:space="preserve">Payment for services provided under the Iowa wellness plan services will be provided in accordance with </w:t>
      </w:r>
      <w:hyperlink r:id="rId48">
        <w:r>
          <w:rPr>
            <w:rStyle w:val="Hyperlink"/>
            <w:rFonts w:ascii="Times New Roman" w:hAnsi="Times New Roman"/>
            <w:b w:val="false"/>
            <w:i w:val="false"/>
            <w:color w:val="000000"/>
            <w:sz w:val="24"/>
          </w:rPr>
          <w:t>441—Chapter 79</w:t>
        </w:r>
      </w:hyperlink>
      <w:r>
        <w:rPr>
          <w:rFonts w:ascii="Times New Roman" w:hAnsi="Times New Roman"/>
          <w:b w:val="false"/>
          <w:i w:val="false"/>
          <w:color w:val="000000"/>
          <w:sz w:val="24"/>
        </w:rPr>
        <w:t xml:space="preserve"> or as provided in a contract between the department or the member’s MCO and the provider.</w:t>
      </w:r>
    </w:p>
    <w:p>
      <w:pPr>
        <w:spacing w:before="0" w:after="0" w:line="480"/>
        <w:ind w:left="120"/>
        <w:jc w:val="both"/>
      </w:pPr>
      <w:r>
        <w:rPr>
          <w:rFonts w:ascii="Times New Roman" w:hAnsi="Times New Roman"/>
          <w:b/>
          <w:i w:val="false"/>
          <w:color w:val="000000"/>
          <w:sz w:val="24"/>
        </w:rPr>
        <w:t>441—74.14</w:t>
      </w:r>
      <w:r>
        <w:rPr>
          <w:rFonts w:ascii="Times New Roman" w:hAnsi="Times New Roman"/>
          <w:b/>
          <w:i w:val="false"/>
          <w:color w:val="000000"/>
          <w:sz w:val="24"/>
        </w:rPr>
        <w:t xml:space="preserve">(249A,249N) </w:t>
      </w:r>
      <w:r>
        <w:rPr>
          <w:rFonts w:ascii="Times New Roman" w:hAnsi="Times New Roman"/>
          <w:b/>
          <w:i w:val="false"/>
          <w:color w:val="000000"/>
          <w:sz w:val="24"/>
        </w:rPr>
        <w:t xml:space="preserve">Discontinuance of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74.14(1)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methodology for calculating the federal medical assistance percentage for eligible individuals, as provided in </w:t>
      </w:r>
      <w:r>
        <w:rPr>
          <w:rFonts w:ascii="Times New Roman" w:hAnsi="Times New Roman"/>
          <w:b w:val="false"/>
          <w:i w:val="false"/>
          <w:color w:val="000000"/>
          <w:sz w:val="24"/>
        </w:rPr>
        <w:t>42 U.S.C. §1396d(y)</w:t>
      </w:r>
      <w:r>
        <w:rPr>
          <w:rFonts w:ascii="Times New Roman" w:hAnsi="Times New Roman"/>
          <w:b w:val="false"/>
          <w:i w:val="false"/>
          <w:color w:val="000000"/>
          <w:sz w:val="24"/>
        </w:rPr>
        <w:t xml:space="preserve"> as amended to July 1, 2026, is modified through federal law or regulation, in a manner that reduces the percentage of federal assistance to the state, or if federal law or regulation affecting eligibility or benefits for IHAWP is modified, the department may implement an alternative plan as specified in the medical assistance state plan or waiver for coverage of the affected population, subject to prior, statutory approval of implementation of the alternative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74.14(2)</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methodology for calculating the federal medical assistance percentage for eligible individuals, as provided in </w:t>
      </w:r>
      <w:r>
        <w:rPr>
          <w:rFonts w:ascii="Times New Roman" w:hAnsi="Times New Roman"/>
          <w:b w:val="false"/>
          <w:i w:val="false"/>
          <w:color w:val="000000"/>
          <w:sz w:val="24"/>
        </w:rPr>
        <w:t>42 U.S.C. §1396d(y)</w:t>
      </w:r>
      <w:r>
        <w:rPr>
          <w:rFonts w:ascii="Times New Roman" w:hAnsi="Times New Roman"/>
          <w:b w:val="false"/>
          <w:i w:val="false"/>
          <w:color w:val="000000"/>
          <w:sz w:val="24"/>
        </w:rPr>
        <w:t xml:space="preserve"> as amended to July 1, 2026, is modified through federal law or regulation resulting in a reduction of the percentage of federal assistance to the state below 90 percent but not below 85 percent, the medical assistance program reimbursement rates for inpatient and outpatient hospital services will be reduced by a like percentage in the succeeding fiscal year, subject to prior, statutory approval of implementation of the reduction.</w:t>
      </w:r>
    </w:p>
    <w:p>
      <w:pPr>
        <w:spacing w:before="0" w:after="0" w:line="480"/>
        <w:ind w:left="120"/>
        <w:jc w:val="both"/>
      </w:pPr>
      <w:r>
        <w:rPr>
          <w:rFonts w:ascii="Times New Roman" w:hAnsi="Times New Roman"/>
          <w:b w:val="false"/>
          <w:i w:val="false"/>
          <w:color w:val="000000"/>
          <w:sz w:val="24"/>
        </w:rPr>
        <w:t xml:space="preserve">These rules are intended to implement Iowa Code chapters </w:t>
      </w:r>
      <w:hyperlink r:id="rId49">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 xml:space="preserve"> and </w:t>
      </w:r>
      <w:hyperlink r:id="rId50">
        <w:r>
          <w:rPr>
            <w:rStyle w:val="Hyperlink"/>
            <w:rFonts w:ascii="Times New Roman" w:hAnsi="Times New Roman"/>
            <w:b w:val="false"/>
            <w:i w:val="false"/>
            <w:color w:val="000000"/>
            <w:sz w:val="24"/>
          </w:rPr>
          <w:t>249N</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5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chapter/441.75.pdf" Type="http://schemas.openxmlformats.org/officeDocument/2006/relationships/hyperlink" Id="rId6"/>
    <Relationship TargetMode="External" Target="https://www.legis.iowa.gov/docs/iac/rule/441.75.1.pdf" Type="http://schemas.openxmlformats.org/officeDocument/2006/relationships/hyperlink" Id="rId7"/>
    <Relationship TargetMode="External" Target="https://www.legis.iowa.gov/docs/iac/chapter/441.73.pdf" Type="http://schemas.openxmlformats.org/officeDocument/2006/relationships/hyperlink" Id="rId8"/>
    <Relationship TargetMode="External" Target="https://www.legis.iowa.gov/docs/ico/chapter/514B.1.pdf" Type="http://schemas.openxmlformats.org/officeDocument/2006/relationships/hyperlink" Id="rId9"/>
    <Relationship TargetMode="External" Target="https://www.legis.iowa.gov/docs/iac/chapter/441.75.pdf" Type="http://schemas.openxmlformats.org/officeDocument/2006/relationships/hyperlink" Id="rId10"/>
    <Relationship TargetMode="External" Target="https://www.legis.iowa.gov/docs/iac/chapter/441.75.pdf" Type="http://schemas.openxmlformats.org/officeDocument/2006/relationships/hyperlink" Id="rId11"/>
    <Relationship TargetMode="External" Target="https://www.legis.iowa.gov/docs/iac/chapter/441.75.pdf" Type="http://schemas.openxmlformats.org/officeDocument/2006/relationships/hyperlink" Id="rId12"/>
    <Relationship TargetMode="External" Target="https://www.legis.iowa.gov/docs/iac/chapter/441.75.pdf" Type="http://schemas.openxmlformats.org/officeDocument/2006/relationships/hyperlink" Id="rId13"/>
    <Relationship TargetMode="External" Target="https://www.legis.iowa.gov/docs/iac/chapter/441.76.pdf" Type="http://schemas.openxmlformats.org/officeDocument/2006/relationships/hyperlink" Id="rId14"/>
    <Relationship TargetMode="External" Target="https://www.legis.iowa.gov/docs/iac/chapter/441.76.pdf" Type="http://schemas.openxmlformats.org/officeDocument/2006/relationships/hyperlink" Id="rId15"/>
    <Relationship TargetMode="External" Target="https://www.legis.iowa.gov/docs/iac/chapter/441.76.pdf" Type="http://schemas.openxmlformats.org/officeDocument/2006/relationships/hyperlink" Id="rId16"/>
    <Relationship TargetMode="External" Target="https://www.legis.iowa.gov/docs/ico/chapter/135C.pdf" Type="http://schemas.openxmlformats.org/officeDocument/2006/relationships/hyperlink" Id="rId17"/>
    <Relationship TargetMode="External" Target="https://www.legis.iowa.gov/docs/iac/chapter/441.76.pdf" Type="http://schemas.openxmlformats.org/officeDocument/2006/relationships/hyperlink" Id="rId18"/>
    <Relationship TargetMode="External" Target="https://www.legis.iowa.gov/docs/iac/chapter/441.76.pdf" Type="http://schemas.openxmlformats.org/officeDocument/2006/relationships/hyperlink" Id="rId19"/>
    <Relationship TargetMode="External" Target="https://www.legis.iowa.gov/docs/iac/chapter/441.75.pdf" Type="http://schemas.openxmlformats.org/officeDocument/2006/relationships/hyperlink" Id="rId20"/>
    <Relationship TargetMode="External" Target="https://www.legis.iowa.gov/docs/iac/chapter/441.11.pdf" Type="http://schemas.openxmlformats.org/officeDocument/2006/relationships/hyperlink" Id="rId21"/>
    <Relationship TargetMode="External" Target="https://www.legis.iowa.gov/docs/iac/rule/441.16.2.pdf" Type="http://schemas.openxmlformats.org/officeDocument/2006/relationships/hyperlink" Id="rId22"/>
    <Relationship TargetMode="External" Target="https://www.legis.iowa.gov/docs/iac/chapter/441.76.pdf" Type="http://schemas.openxmlformats.org/officeDocument/2006/relationships/hyperlink" Id="rId23"/>
    <Relationship TargetMode="External" Target="https://www.legis.iowa.gov/docs/iac/chapter/441.75.pdf" Type="http://schemas.openxmlformats.org/officeDocument/2006/relationships/hyperlink" Id="rId24"/>
    <Relationship TargetMode="External" Target="https://www.legis.iowa.gov/docs/iac/rule/441.74.14.pdf" Type="http://schemas.openxmlformats.org/officeDocument/2006/relationships/hyperlink" Id="rId25"/>
    <Relationship TargetMode="External" Target="https://www.legis.iowa.gov/docs/iac/rule/441.74.11.pdf" Type="http://schemas.openxmlformats.org/officeDocument/2006/relationships/hyperlink" Id="rId26"/>
    <Relationship TargetMode="External" Target="https://www.legis.iowa.gov/docs/iac/chapter/441.75.pdf" Type="http://schemas.openxmlformats.org/officeDocument/2006/relationships/hyperlink" Id="rId27"/>
    <Relationship TargetMode="External" Target="https://www.legis.iowa.gov/docs/iac/chapter/441.75.pdf" Type="http://schemas.openxmlformats.org/officeDocument/2006/relationships/hyperlink" Id="rId28"/>
    <Relationship TargetMode="External" Target="https://www.legis.iowa.gov/docs/iac/chapter/441.7.pdf" Type="http://schemas.openxmlformats.org/officeDocument/2006/relationships/hyperlink" Id="rId29"/>
    <Relationship TargetMode="External" Target="https://www.legis.iowa.gov/docs/iac/rule/441.74.14.pdf" Type="http://schemas.openxmlformats.org/officeDocument/2006/relationships/hyperlink" Id="rId30"/>
    <Relationship TargetMode="External" Target="https://www.legis.iowa.gov/docs/iac/chapter/441.75.pdf" Type="http://schemas.openxmlformats.org/officeDocument/2006/relationships/hyperlink" Id="rId31"/>
    <Relationship TargetMode="External" Target="https://www.legis.iowa.gov/docs/iac/rule/441.74.11.pdf" Type="http://schemas.openxmlformats.org/officeDocument/2006/relationships/hyperlink" Id="rId32"/>
    <Relationship TargetMode="External" Target="https://www.legis.iowa.gov/docs/iac/rule/441.74.12.pdf" Type="http://schemas.openxmlformats.org/officeDocument/2006/relationships/hyperlink" Id="rId33"/>
    <Relationship TargetMode="External" Target="https://www.legis.iowa.gov/docs/iac/chapter/441.75.pdf" Type="http://schemas.openxmlformats.org/officeDocument/2006/relationships/hyperlink" Id="rId34"/>
    <Relationship TargetMode="External" Target="https://www.legis.iowa.gov/docs/iac/rule/441.74.11.pdf" Type="http://schemas.openxmlformats.org/officeDocument/2006/relationships/hyperlink" Id="rId35"/>
    <Relationship TargetMode="External" Target="https://www.legis.iowa.gov/docs/iac/chapter/441.75.pdf" Type="http://schemas.openxmlformats.org/officeDocument/2006/relationships/hyperlink" Id="rId36"/>
    <Relationship TargetMode="External" Target="https://www.legis.iowa.gov/docs/iac/rule/441.74.11.pdf" Type="http://schemas.openxmlformats.org/officeDocument/2006/relationships/hyperlink" Id="rId37"/>
    <Relationship TargetMode="External" Target="https://www.legis.iowa.gov/docs/iac/chapter/441.75.pdf" Type="http://schemas.openxmlformats.org/officeDocument/2006/relationships/hyperlink" Id="rId38"/>
    <Relationship TargetMode="External" Target="https://www.legis.iowa.gov/docs/iac/chapter/441.76.pdf" Type="http://schemas.openxmlformats.org/officeDocument/2006/relationships/hyperlink" Id="rId39"/>
    <Relationship TargetMode="External" Target="https://www.legis.iowa.gov/docs/iac/rule/441.74.11.pdf" Type="http://schemas.openxmlformats.org/officeDocument/2006/relationships/hyperlink" Id="rId40"/>
    <Relationship TargetMode="External" Target="https://www.legis.iowa.gov/docs/iac/chapter/441.75.pdf" Type="http://schemas.openxmlformats.org/officeDocument/2006/relationships/hyperlink" Id="rId41"/>
    <Relationship TargetMode="External" Target="https://www.legis.iowa.gov/docs/iac/chapter/441.73.pdf" Type="http://schemas.openxmlformats.org/officeDocument/2006/relationships/hyperlink" Id="rId42"/>
    <Relationship TargetMode="External" Target="https://www.legis.iowa.gov/docs/iac/chapter/441.78.pdf" Type="http://schemas.openxmlformats.org/officeDocument/2006/relationships/hyperlink" Id="rId43"/>
    <Relationship TargetMode="External" Target="https://www.legis.iowa.gov/docs/iac/chapter/441.73.pdf" Type="http://schemas.openxmlformats.org/officeDocument/2006/relationships/hyperlink" Id="rId44"/>
    <Relationship TargetMode="External" Target="https://www.legis.iowa.gov/docs/iac/chapter/441.73.pdf" Type="http://schemas.openxmlformats.org/officeDocument/2006/relationships/hyperlink" Id="rId45"/>
    <Relationship TargetMode="External" Target="https://www.legis.iowa.gov/docs/iac/chapter/441.78.pdf" Type="http://schemas.openxmlformats.org/officeDocument/2006/relationships/hyperlink" Id="rId46"/>
    <Relationship TargetMode="External" Target="https://www.legis.iowa.gov/docs/iac/chapter/441.75.pdf" Type="http://schemas.openxmlformats.org/officeDocument/2006/relationships/hyperlink" Id="rId47"/>
    <Relationship TargetMode="External" Target="https://www.legis.iowa.gov/docs/iac/chapter/441.79.pdf" Type="http://schemas.openxmlformats.org/officeDocument/2006/relationships/hyperlink" Id="rId48"/>
    <Relationship TargetMode="External" Target="https://www.legis.iowa.gov/docs/ico/chapter/249A.pdf" Type="http://schemas.openxmlformats.org/officeDocument/2006/relationships/hyperlink" Id="rId49"/>
    <Relationship TargetMode="External" Target="https://www.legis.iowa.gov/docs/ico/chapter/249N.pdf" Type="http://schemas.openxmlformats.org/officeDocument/2006/relationships/hyperlink" Id="rId50"/>
    <Relationship Target="footer.xml" Type="http://schemas.openxmlformats.org/officeDocument/2006/relationships/footer" Id="rId5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