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47C" w:id="1"/>
    <w:p>
      <w:pPr>
        <w:spacing w:before="0" w:after="0" w:line="480"/>
        <w:ind w:left="120"/>
        <w:jc w:val="right"/>
      </w:pPr>
      <w:r>
        <w:rPr>
          <w:rFonts w:ascii="Times New Roman" w:hAnsi="Times New Roman"/>
          <w:b/>
          <w:i w:val="false"/>
          <w:color w:val="000000"/>
          <w:sz w:val="28"/>
        </w:rPr>
        <w:t>ARC 9847C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juvenile court-ordered services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151, “Juvenile Court Services Directed Programs,” and to adopt a new Chapter 151, “Juvenile Court-Ordered Services,”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232.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232.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a part of the Red Tape Review process laid out in Executive Order 10. As a result of this review, restrictive terms were removed, areas that were duplicative were combined or eliminated, and editorial updates were made to processes and procedures to ensure they reflect current policies and procedures. These proposed rules prescribe services for eligible children for reimbursement from funds appropriated specifically for juvenile court services directed programs. The proposed rules establish the criteria for the allocation of funds and the procedures for administration, application, eligibility, appeals, service delivery, and billing and payment. These proposed rules also prescribe the joint responsibilities of the chief juvenile court officers and the Department’s service area managers for the planning and implementation of an annual child welfare and juvenile justice plan for each Department service area.</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82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151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151</w:t>
      </w:r>
    </w:p>
    <w:p>
      <w:pPr>
        <w:spacing w:before="0" w:after="0" w:line="480"/>
        <w:ind w:left="120"/>
        <w:jc w:val="center"/>
      </w:pPr>
      <w:r>
        <w:rPr>
          <w:rFonts w:ascii="Times New Roman" w:hAnsi="Times New Roman"/>
          <w:b w:val="false"/>
          <w:i w:val="false"/>
          <w:color w:val="000000"/>
          <w:sz w:val="21"/>
        </w:rPr>
        <w:t xml:space="preserve"> JUVENILE COURT-ORDERED SERVICES</w:t>
      </w:r>
    </w:p>
    <w:p>
      <w:pPr>
        <w:spacing w:before="0" w:after="0" w:line="480"/>
        <w:ind w:left="120"/>
        <w:jc w:val="both"/>
      </w:pPr>
      <w:r>
        <w:rPr>
          <w:rFonts w:ascii="Times New Roman" w:hAnsi="Times New Roman"/>
          <w:b/>
          <w:i w:val="false"/>
          <w:color w:val="000000"/>
          <w:sz w:val="24"/>
        </w:rPr>
        <w:t>441—151.1</w:t>
      </w:r>
      <w:r>
        <w:rPr>
          <w:rFonts w:ascii="Times New Roman" w:hAnsi="Times New Roman"/>
          <w:b/>
          <w:i w:val="false"/>
          <w:color w:val="000000"/>
          <w:sz w:val="24"/>
        </w:rPr>
        <w:t xml:space="preserve">(232)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“Child” </w:t>
      </w:r>
      <w:r>
        <w:rPr>
          <w:rFonts w:ascii="Times New Roman" w:hAnsi="Times New Roman"/>
          <w:b w:val="false"/>
          <w:i w:val="false"/>
          <w:color w:val="000000"/>
          <w:sz w:val="24"/>
        </w:rPr>
        <w:t xml:space="preserve">means a person under 18 years of 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“Child welfare services” </w:t>
      </w:r>
      <w:r>
        <w:rPr>
          <w:rFonts w:ascii="Times New Roman" w:hAnsi="Times New Roman"/>
          <w:b w:val="false"/>
          <w:i w:val="false"/>
          <w:color w:val="000000"/>
          <w:sz w:val="24"/>
        </w:rPr>
        <w:t xml:space="preserve">means services to maintain a child’s connection to the child’s family and community, to promote reunification or other permanent placement, and to facilitate a child’s transition to adulthood.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“Court-ordered services” </w:t>
      </w:r>
      <w:r>
        <w:rPr>
          <w:rFonts w:ascii="Times New Roman" w:hAnsi="Times New Roman"/>
          <w:b w:val="false"/>
          <w:i w:val="false"/>
          <w:color w:val="000000"/>
          <w:sz w:val="24"/>
        </w:rPr>
        <w:t xml:space="preserve">means the defined or specific care and treatment that are authorized by the court for an eligible child or the parent of an eligible child and for which no other payment source is available to cover the cost.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“Eligible child” </w:t>
      </w:r>
      <w:r>
        <w:rPr>
          <w:rFonts w:ascii="Times New Roman" w:hAnsi="Times New Roman"/>
          <w:b w:val="false"/>
          <w:i w:val="false"/>
          <w:color w:val="000000"/>
          <w:sz w:val="24"/>
        </w:rPr>
        <w:t xml:space="preserve">means a child supervised by the department for whom the juvenile court judge has provided an order for a service funded under court-ordered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“Provider” </w:t>
      </w:r>
      <w:r>
        <w:rPr>
          <w:rFonts w:ascii="Times New Roman" w:hAnsi="Times New Roman"/>
          <w:b w:val="false"/>
          <w:i w:val="false"/>
          <w:color w:val="000000"/>
          <w:sz w:val="24"/>
        </w:rPr>
        <w:t xml:space="preserve">means a public agency, including a school district or government unit, or a private agency, organization or eligible individual authorized to do business in the state. The provider is also known as the claimant.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area” </w:t>
      </w:r>
      <w:r>
        <w:rPr>
          <w:rFonts w:ascii="Times New Roman" w:hAnsi="Times New Roman"/>
          <w:b w:val="false"/>
          <w:i w:val="false"/>
          <w:color w:val="000000"/>
          <w:sz w:val="24"/>
        </w:rPr>
        <w:t xml:space="preserve">means one of the five geographic areas designated by the department for the provision of family well-being and protection services. </w:t>
      </w:r>
    </w:p>
    <w:p>
      <w:pPr>
        <w:spacing w:before="0" w:after="0" w:line="480"/>
        <w:ind w:left="120"/>
        <w:jc w:val="both"/>
      </w:pPr>
      <w:r>
        <w:rPr>
          <w:rFonts w:ascii="Times New Roman" w:hAnsi="Times New Roman"/>
          <w:b/>
          <w:i w:val="false"/>
          <w:color w:val="000000"/>
          <w:sz w:val="24"/>
        </w:rPr>
        <w:t>441—151.2</w:t>
      </w:r>
      <w:r>
        <w:rPr>
          <w:rFonts w:ascii="Times New Roman" w:hAnsi="Times New Roman"/>
          <w:b/>
          <w:i w:val="false"/>
          <w:color w:val="000000"/>
          <w:sz w:val="24"/>
        </w:rPr>
        <w:t xml:space="preserve">(232) </w:t>
      </w:r>
      <w:r>
        <w:rPr>
          <w:rFonts w:ascii="Times New Roman" w:hAnsi="Times New Roman"/>
          <w:b/>
          <w:i w:val="false"/>
          <w:color w:val="000000"/>
          <w:sz w:val="24"/>
        </w:rPr>
        <w:t xml:space="preserve">Administration of funds for court-ordered services. </w:t>
      </w:r>
      <w:r>
        <w:rPr>
          <w:rFonts w:ascii="Times New Roman" w:hAnsi="Times New Roman"/>
          <w:b w:val="false"/>
          <w:i w:val="false"/>
          <w:color w:val="000000"/>
          <w:sz w:val="24"/>
        </w:rPr>
        <w:t xml:space="preserve">Pursuant to the authority granted in Iowa Code chapters </w:t>
      </w:r>
      <w:hyperlink r:id="rId6">
        <w:r>
          <w:rPr>
            <w:rStyle w:val="Hyperlink"/>
            <w:rFonts w:ascii="Times New Roman" w:hAnsi="Times New Roman"/>
            <w:b w:val="false"/>
            <w:i w:val="false"/>
            <w:color w:val="000000"/>
            <w:sz w:val="24"/>
          </w:rPr>
          <w:t>7E</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8</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602</w:t>
        </w:r>
      </w:hyperlink>
      <w:r>
        <w:rPr>
          <w:rFonts w:ascii="Times New Roman" w:hAnsi="Times New Roman"/>
          <w:b w:val="false"/>
          <w:i w:val="false"/>
          <w:color w:val="000000"/>
          <w:sz w:val="24"/>
        </w:rPr>
        <w:t xml:space="preserve"> and the annual appropriations Acts, the executive branch, represented by the department, and the judicial branch, represented by the juvenile court judges, are each charged with specific responsibilities for funding, administering, and providing court-ordered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151.2(1)</w:t>
      </w:r>
      <w:r>
        <w:rPr>
          <w:rFonts w:ascii="Times New Roman" w:hAnsi="Times New Roman"/>
          <w:b w:val="false"/>
          <w:i w:val="false"/>
          <w:color w:val="000000"/>
          <w:sz w:val="24"/>
        </w:rPr>
        <w:t> </w:t>
      </w:r>
      <w:r>
        <w:rPr>
          <w:rFonts w:ascii="Times New Roman" w:hAnsi="Times New Roman"/>
          <w:b w:val="false"/>
          <w:i/>
          <w:color w:val="000000"/>
          <w:sz w:val="24"/>
        </w:rPr>
        <w:t xml:space="preserve">Allocations for court-ordered services. </w:t>
      </w:r>
      <w:r>
        <w:rPr>
          <w:rFonts w:ascii="Times New Roman" w:hAnsi="Times New Roman"/>
          <w:b w:val="false"/>
          <w:i w:val="false"/>
          <w:color w:val="000000"/>
          <w:sz w:val="24"/>
        </w:rPr>
        <w:t xml:space="preserve">Court-ordered services are funded by an appropriation made to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151.2(2)</w:t>
      </w:r>
      <w:r>
        <w:rPr>
          <w:rFonts w:ascii="Times New Roman" w:hAnsi="Times New Roman"/>
          <w:b w:val="false"/>
          <w:i w:val="false"/>
          <w:color w:val="000000"/>
          <w:sz w:val="24"/>
        </w:rPr>
        <w:t> </w:t>
      </w:r>
      <w:r>
        <w:rPr>
          <w:rFonts w:ascii="Times New Roman" w:hAnsi="Times New Roman"/>
          <w:b w:val="false"/>
          <w:i/>
          <w:color w:val="000000"/>
          <w:sz w:val="24"/>
        </w:rPr>
        <w:t xml:space="preserve">Court order requirement. </w:t>
      </w:r>
      <w:r>
        <w:rPr>
          <w:rFonts w:ascii="Times New Roman" w:hAnsi="Times New Roman"/>
          <w:b w:val="false"/>
          <w:i w:val="false"/>
          <w:color w:val="000000"/>
          <w:sz w:val="24"/>
        </w:rPr>
        <w:t xml:space="preserve">Upon the request of any party, the court may authorize the use of court-ordered services for child welfare services as defined in subrules </w:t>
      </w:r>
      <w:hyperlink r:id="rId10">
        <w:r>
          <w:rPr>
            <w:rStyle w:val="Hyperlink"/>
            <w:rFonts w:ascii="Times New Roman" w:hAnsi="Times New Roman"/>
            <w:b w:val="false"/>
            <w:i w:val="false"/>
            <w:color w:val="000000"/>
            <w:sz w:val="24"/>
          </w:rPr>
          <w:t>151.4(1)</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151.4(2)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funds. </w:t>
      </w:r>
      <w:r>
        <w:rPr>
          <w:rFonts w:ascii="Times New Roman" w:hAnsi="Times New Roman"/>
          <w:b w:val="false"/>
          <w:i w:val="false"/>
          <w:color w:val="000000"/>
          <w:sz w:val="24"/>
        </w:rPr>
        <w:t>The department will complete an application for the use of court-ordered service funds upon receiving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151.2(4)</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funds. </w:t>
      </w:r>
      <w:r>
        <w:rPr>
          <w:rFonts w:ascii="Times New Roman" w:hAnsi="Times New Roman"/>
          <w:b w:val="false"/>
          <w:i w:val="false"/>
          <w:color w:val="000000"/>
          <w:sz w:val="24"/>
        </w:rPr>
        <w:t xml:space="preserve">The department will have the opportunity to establish the availability of funds once an authorization for court-ordered services is received from the court.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151.2(5)</w:t>
      </w:r>
      <w:r>
        <w:rPr>
          <w:rFonts w:ascii="Times New Roman" w:hAnsi="Times New Roman"/>
          <w:b w:val="false"/>
          <w:i w:val="false"/>
          <w:color w:val="000000"/>
          <w:sz w:val="24"/>
        </w:rPr>
        <w:t> </w:t>
      </w:r>
      <w:r>
        <w:rPr>
          <w:rFonts w:ascii="Times New Roman" w:hAnsi="Times New Roman"/>
          <w:b w:val="false"/>
          <w:i/>
          <w:color w:val="000000"/>
          <w:sz w:val="24"/>
        </w:rPr>
        <w:t xml:space="preserve">Monitoring of funds. </w:t>
      </w:r>
      <w:r>
        <w:rPr>
          <w:rFonts w:ascii="Times New Roman" w:hAnsi="Times New Roman"/>
          <w:b w:val="false"/>
          <w:i w:val="false"/>
          <w:color w:val="000000"/>
          <w:sz w:val="24"/>
        </w:rPr>
        <w:t>The department will monitor and communicate the availability of the court-ordered services funds to ensure that funds are available throughout the state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151.2(6)</w:t>
      </w:r>
      <w:r>
        <w:rPr>
          <w:rFonts w:ascii="Times New Roman" w:hAnsi="Times New Roman"/>
          <w:b w:val="false"/>
          <w:i w:val="false"/>
          <w:color w:val="000000"/>
          <w:sz w:val="24"/>
        </w:rPr>
        <w:t> </w:t>
      </w:r>
      <w:r>
        <w:rPr>
          <w:rFonts w:ascii="Times New Roman" w:hAnsi="Times New Roman"/>
          <w:b w:val="false"/>
          <w:i/>
          <w:color w:val="000000"/>
          <w:sz w:val="24"/>
        </w:rPr>
        <w:t xml:space="preserve">Emergency or after-hours situations. </w:t>
      </w:r>
      <w:r>
        <w:rPr>
          <w:rFonts w:ascii="Times New Roman" w:hAnsi="Times New Roman"/>
          <w:b w:val="false"/>
          <w:i w:val="false"/>
          <w:color w:val="000000"/>
          <w:sz w:val="24"/>
        </w:rPr>
        <w:t>Any services that are provided without the signed approval of the department’s approved administrator may be denied payment, unless there is an emergency or after-hours situation and no other provision exists for handling emergency or after-hours situations or transports.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151.2(7)</w:t>
      </w:r>
      <w:r>
        <w:rPr>
          <w:rFonts w:ascii="Times New Roman" w:hAnsi="Times New Roman"/>
          <w:b w:val="false"/>
          <w:i w:val="false"/>
          <w:color w:val="000000"/>
          <w:sz w:val="24"/>
        </w:rPr>
        <w:t> </w:t>
      </w:r>
      <w:r>
        <w:rPr>
          <w:rFonts w:ascii="Times New Roman" w:hAnsi="Times New Roman"/>
          <w:b w:val="false"/>
          <w:i/>
          <w:color w:val="000000"/>
          <w:sz w:val="24"/>
        </w:rPr>
        <w:t xml:space="preserve">Transfer of funds to a decategorization governance board for administration. </w:t>
      </w:r>
      <w:r>
        <w:rPr>
          <w:rFonts w:ascii="Times New Roman" w:hAnsi="Times New Roman"/>
          <w:b w:val="false"/>
          <w:i w:val="false"/>
          <w:color w:val="000000"/>
          <w:sz w:val="24"/>
        </w:rPr>
        <w:t>Funds allocated to the department for court-ordered services may be transferred to a decategorization governance board for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151.2(8)</w:t>
      </w:r>
      <w:r>
        <w:rPr>
          <w:rFonts w:ascii="Times New Roman" w:hAnsi="Times New Roman"/>
          <w:b w:val="false"/>
          <w:i w:val="false"/>
          <w:color w:val="000000"/>
          <w:sz w:val="24"/>
        </w:rPr>
        <w:t> </w:t>
      </w:r>
      <w:r>
        <w:rPr>
          <w:rFonts w:ascii="Times New Roman" w:hAnsi="Times New Roman"/>
          <w:b w:val="false"/>
          <w:i/>
          <w:color w:val="000000"/>
          <w:sz w:val="24"/>
        </w:rPr>
        <w:t xml:space="preserve">Billing and payment. </w:t>
      </w:r>
      <w:r>
        <w:rPr>
          <w:rFonts w:ascii="Times New Roman" w:hAnsi="Times New Roman"/>
          <w:b w:val="false"/>
          <w:i w:val="false"/>
          <w:color w:val="000000"/>
          <w:sz w:val="24"/>
        </w:rPr>
        <w:t>The department will ensure that billing and payment are in compliance with the requirements of the accounting policies and procedures manual of the department of administrative services, state accounting enterprise as amended to August 1, 2025. A claim that meets the requirements of this chapter becomes a state liability on the date of a claim’s accrual. The date of a claim’s accrual is the date the service was provided, the end of the agreed-upon billing interval specified in the contract, or the date of a determination of liability for the claim.</w:t>
      </w:r>
    </w:p>
    <w:p>
      <w:pPr>
        <w:spacing w:before="0" w:after="0" w:line="480"/>
        <w:ind w:left="120"/>
        <w:jc w:val="both"/>
      </w:pPr>
      <w:r>
        <w:rPr>
          <w:rFonts w:ascii="Times New Roman" w:hAnsi="Times New Roman"/>
          <w:b/>
          <w:i w:val="false"/>
          <w:color w:val="000000"/>
          <w:sz w:val="24"/>
        </w:rPr>
        <w:t>441—151.3</w:t>
      </w:r>
      <w:r>
        <w:rPr>
          <w:rFonts w:ascii="Times New Roman" w:hAnsi="Times New Roman"/>
          <w:b/>
          <w:i w:val="false"/>
          <w:color w:val="000000"/>
          <w:sz w:val="24"/>
        </w:rPr>
        <w:t xml:space="preserve">(232) </w:t>
      </w:r>
      <w:r>
        <w:rPr>
          <w:rFonts w:ascii="Times New Roman" w:hAnsi="Times New Roman"/>
          <w:b/>
          <w:i w:val="false"/>
          <w:color w:val="000000"/>
          <w:sz w:val="24"/>
        </w:rPr>
        <w:t xml:space="preserve">Use of other funding sources. </w:t>
      </w:r>
      <w:r>
        <w:rPr>
          <w:rFonts w:ascii="Times New Roman" w:hAnsi="Times New Roman"/>
          <w:b w:val="false"/>
          <w:i w:val="false"/>
          <w:color w:val="000000"/>
          <w:sz w:val="24"/>
        </w:rPr>
        <w:t>The department, in cooperation with juvenile court judges, will ensure that the funds allocated for court-ordered services are spent only after all other reasonable actions have been taken to use other funding sources. Services are not eligible for reimbursement when another payment source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151.3(1)</w:t>
      </w:r>
      <w:r>
        <w:rPr>
          <w:rFonts w:ascii="Times New Roman" w:hAnsi="Times New Roman"/>
          <w:b w:val="false"/>
          <w:i w:val="false"/>
          <w:color w:val="000000"/>
          <w:sz w:val="24"/>
        </w:rPr>
        <w:t> </w:t>
      </w:r>
      <w:r>
        <w:rPr>
          <w:rFonts w:ascii="Times New Roman" w:hAnsi="Times New Roman"/>
          <w:b w:val="false"/>
          <w:i w:val="false"/>
          <w:color w:val="000000"/>
          <w:sz w:val="24"/>
        </w:rPr>
        <w:t>The department will maximize the use of funds that may be available from the Medicaid program, including coverage for early and periodic screening, diagnosis, and treatment and for psychiatric medical institutions for children (PMIC), before requesting assistance through the court-ordered services fund. However, medical cost sharing for the one-time payment per court order of a deductible amount or a coinsurance amount for treatment specified in a court order is an allowable expense that may be paid through the court-ordered services fund when insurance or Medicaid is then available to pay the remainder of the cost.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151.3(2)</w:t>
      </w:r>
      <w:r>
        <w:rPr>
          <w:rFonts w:ascii="Times New Roman" w:hAnsi="Times New Roman"/>
          <w:b w:val="false"/>
          <w:i w:val="false"/>
          <w:color w:val="000000"/>
          <w:sz w:val="24"/>
        </w:rPr>
        <w:t> </w:t>
      </w:r>
      <w:r>
        <w:rPr>
          <w:rFonts w:ascii="Times New Roman" w:hAnsi="Times New Roman"/>
          <w:b w:val="false"/>
          <w:i w:val="false"/>
          <w:color w:val="000000"/>
          <w:sz w:val="24"/>
        </w:rPr>
        <w:t>The department may recover payments from any third-party insurance carrier that is liable for coverage of the services, including health insurance coverage. The department may submit claims to third-party insurance carriers liable for coverage of the services before the claims are submitted for payment through the court-ordered services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151.3(3)</w:t>
      </w:r>
      <w:r>
        <w:rPr>
          <w:rFonts w:ascii="Times New Roman" w:hAnsi="Times New Roman"/>
          <w:b w:val="false"/>
          <w:i w:val="false"/>
          <w:color w:val="000000"/>
          <w:sz w:val="24"/>
        </w:rPr>
        <w:t> </w:t>
      </w:r>
      <w:r>
        <w:rPr>
          <w:rFonts w:ascii="Times New Roman" w:hAnsi="Times New Roman"/>
          <w:b w:val="false"/>
          <w:i w:val="false"/>
          <w:color w:val="000000"/>
          <w:sz w:val="24"/>
        </w:rPr>
        <w:t>The date of a medical claim’s accrual for reimbursement through court-ordered services is the date the claim becomes a state liability. For example, a claim becomes a state liability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date of a court order for a contested claim;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date of a determination by Medicaid or private insurance that Medicaid or private insurance denies partial or full payment for care and treatment for which an application has been made.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151.3(4)</w:t>
      </w:r>
      <w:r>
        <w:rPr>
          <w:rFonts w:ascii="Times New Roman" w:hAnsi="Times New Roman"/>
          <w:b w:val="false"/>
          <w:i w:val="false"/>
          <w:color w:val="000000"/>
          <w:sz w:val="24"/>
        </w:rPr>
        <w:t> </w:t>
      </w:r>
      <w:r>
        <w:rPr>
          <w:rFonts w:ascii="Times New Roman" w:hAnsi="Times New Roman"/>
          <w:b w:val="false"/>
          <w:i w:val="false"/>
          <w:color w:val="000000"/>
          <w:sz w:val="24"/>
        </w:rPr>
        <w:t>If eligible for reimbursement through the court-ordered services fund, medical claims that are submitted to, but are denied by, Medicaid or private insurance will be paid at a rate not to exceed the rate set by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151.3(5)</w:t>
      </w:r>
      <w:r>
        <w:rPr>
          <w:rFonts w:ascii="Times New Roman" w:hAnsi="Times New Roman"/>
          <w:b w:val="false"/>
          <w:i w:val="false"/>
          <w:color w:val="000000"/>
          <w:sz w:val="24"/>
        </w:rPr>
        <w:t> </w:t>
      </w:r>
      <w:r>
        <w:rPr>
          <w:rFonts w:ascii="Times New Roman" w:hAnsi="Times New Roman"/>
          <w:b w:val="false"/>
          <w:i w:val="false"/>
          <w:color w:val="000000"/>
          <w:sz w:val="24"/>
        </w:rPr>
        <w:t xml:space="preserve"> Allowable rates not available. When the department has been unable to establish an allowable rate of reimbursement for a service or a provider, the department’s approved administrator or designee will negotiate a reimbursement rate with the provider to obtain the service at a reasonable cost based on available community or statewide rates. </w:t>
      </w:r>
    </w:p>
    <w:p>
      <w:pPr>
        <w:spacing w:before="0" w:after="0" w:line="480"/>
        <w:ind w:left="120"/>
        <w:jc w:val="both"/>
      </w:pPr>
      <w:r>
        <w:rPr>
          <w:rFonts w:ascii="Times New Roman" w:hAnsi="Times New Roman"/>
          <w:b/>
          <w:i w:val="false"/>
          <w:color w:val="000000"/>
          <w:sz w:val="24"/>
        </w:rPr>
        <w:t>441—151.4</w:t>
      </w:r>
      <w:r>
        <w:rPr>
          <w:rFonts w:ascii="Times New Roman" w:hAnsi="Times New Roman"/>
          <w:b/>
          <w:i w:val="false"/>
          <w:color w:val="000000"/>
          <w:sz w:val="24"/>
        </w:rPr>
        <w:t xml:space="preserve">(232) </w:t>
      </w:r>
      <w:r>
        <w:rPr>
          <w:rFonts w:ascii="Times New Roman" w:hAnsi="Times New Roman"/>
          <w:b/>
          <w:i w:val="false"/>
          <w:color w:val="000000"/>
          <w:sz w:val="24"/>
        </w:rPr>
        <w:t xml:space="preserve">Expenses. </w:t>
      </w:r>
      <w:r>
        <w:rPr>
          <w:rFonts w:ascii="Times New Roman" w:hAnsi="Times New Roman"/>
          <w:b w:val="false"/>
          <w:i w:val="false"/>
          <w:color w:val="000000"/>
          <w:sz w:val="24"/>
        </w:rPr>
        <w:t xml:space="preserve">The following lists of expenses that are eligible for reimbursement from the court-ordered services fund are intended to be exhaustive. Billings for services not listed in subrule </w:t>
      </w:r>
      <w:hyperlink r:id="rId12">
        <w:r>
          <w:rPr>
            <w:rStyle w:val="Hyperlink"/>
            <w:rFonts w:ascii="Times New Roman" w:hAnsi="Times New Roman"/>
            <w:b w:val="false"/>
            <w:i w:val="false"/>
            <w:color w:val="000000"/>
            <w:sz w:val="24"/>
          </w:rPr>
          <w:t>151.4(1)</w:t>
        </w:r>
      </w:hyperlink>
      <w:r>
        <w:rPr>
          <w:rFonts w:ascii="Times New Roman" w:hAnsi="Times New Roman"/>
          <w:b w:val="false"/>
          <w:i w:val="false"/>
          <w:color w:val="000000"/>
          <w:sz w:val="24"/>
        </w:rPr>
        <w:t xml:space="preserve"> cannot be paid except as provided in subrule </w:t>
      </w:r>
      <w:hyperlink r:id="rId13">
        <w:r>
          <w:rPr>
            <w:rStyle w:val="Hyperlink"/>
            <w:rFonts w:ascii="Times New Roman" w:hAnsi="Times New Roman"/>
            <w:b w:val="false"/>
            <w:i w:val="false"/>
            <w:color w:val="000000"/>
            <w:sz w:val="24"/>
          </w:rPr>
          <w:t>151.4(2)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151.4(1)</w:t>
      </w:r>
      <w:r>
        <w:rPr>
          <w:rFonts w:ascii="Times New Roman" w:hAnsi="Times New Roman"/>
          <w:b w:val="false"/>
          <w:i w:val="false"/>
          <w:color w:val="000000"/>
          <w:sz w:val="24"/>
        </w:rPr>
        <w:t> </w:t>
      </w:r>
      <w:r>
        <w:rPr>
          <w:rFonts w:ascii="Times New Roman" w:hAnsi="Times New Roman"/>
          <w:b w:val="false"/>
          <w:i/>
          <w:color w:val="000000"/>
          <w:sz w:val="24"/>
        </w:rPr>
        <w:t xml:space="preserve">Expenses to be reimbursed. </w:t>
      </w:r>
      <w:r>
        <w:rPr>
          <w:rFonts w:ascii="Times New Roman" w:hAnsi="Times New Roman"/>
          <w:b w:val="false"/>
          <w:i w:val="false"/>
          <w:color w:val="000000"/>
          <w:sz w:val="24"/>
        </w:rPr>
        <w:t>The expenses for which reimbursement will be made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Expenses, other than salary, incurred by a person ordered by the court, other than a juvenile court officer, in transporting a child to or from a place designated by the court, including mileage, lodging and meals.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expense of care or treatment ordered by the court whenever the minor is placed by the court with someone other than the parents; or a minor is given a physical or mental examination or treatment under order of the court; or, upon certification by the department, a minor is given physical or mental examinations or treatment with the consent of the parent, guardian or legal custodian relating to a child abuse investigation and no provision is otherwise made by the law for payment for the care, examination, or treatment of the minor. Care and treatment expenses for which no other provision for payment is made by law that will be reimbursable include court-ordered: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Individual services for the child separate from a family’s treatment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Diagnosis and evaluation on an outpatient basis unless the diagnosis and evaluation is provided by a person or agency with a contract with the department for the service for which the child is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evaluation of a child in a residential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Inpatient (hospital) evaluation of a child previous to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Medical treatment for a child. This includes medical treatment while in detention in a facility used for detention when the medical treatment is court-ordered.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Drug treatment, testing and care for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Intensive in-home supervision and monitoring and alternatives to shelter care unless a person or agency that has a contract with the department provides the service for which the child is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Evaluation of parents pursuant to an adjudication unless the diagnosis and evaluation is provided by a person or agency with a contract with the department for that service for which the child is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Physical or mental examinations ordered pursuant to Iowa Code section </w:t>
      </w:r>
      <w:hyperlink r:id="rId14">
        <w:r>
          <w:rPr>
            <w:rStyle w:val="Hyperlink"/>
            <w:rFonts w:ascii="Times New Roman" w:hAnsi="Times New Roman"/>
            <w:b w:val="false"/>
            <w:i w:val="false"/>
            <w:color w:val="000000"/>
            <w:sz w:val="24"/>
          </w:rPr>
          <w:t>232.49</w:t>
        </w:r>
      </w:hyperlink>
      <w:r>
        <w:rPr>
          <w:rFonts w:ascii="Times New Roman" w:hAnsi="Times New Roman"/>
          <w:b w:val="false"/>
          <w:i w:val="false"/>
          <w:color w:val="000000"/>
          <w:sz w:val="24"/>
        </w:rPr>
        <w:t xml:space="preserve"> or </w:t>
      </w:r>
      <w:hyperlink r:id="rId15">
        <w:r>
          <w:rPr>
            <w:rStyle w:val="Hyperlink"/>
            <w:rFonts w:ascii="Times New Roman" w:hAnsi="Times New Roman"/>
            <w:b w:val="false"/>
            <w:i w:val="false"/>
            <w:color w:val="000000"/>
            <w:sz w:val="24"/>
          </w:rPr>
          <w:t>232.98</w:t>
        </w:r>
      </w:hyperlink>
      <w:r>
        <w:rPr>
          <w:rFonts w:ascii="Times New Roman" w:hAnsi="Times New Roman"/>
          <w:b w:val="false"/>
          <w:i w:val="false"/>
          <w:color w:val="000000"/>
          <w:sz w:val="24"/>
        </w:rPr>
        <w:t xml:space="preserve"> or those eligible for payment pursuant to Iowa Code chapter </w:t>
      </w:r>
      <w:hyperlink r:id="rId16">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Services ordered under family in need of assistance proceedings unless a person or agency with a contract with the department provides the service for which the child is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Expenses for all educational testing or programming for children, not weighted as special education students, who attend an on-campus school in an out-of-state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Expenses for educational testing or programs related to a high school equivalency diploma or for credit hours, when the expenses are not required to be paid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Medical cost sharing for payment of a deductible amount or a coinsurance amount when Medicaid or private insurance is then available to pay the remainder of the cost.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151.4(2)</w:t>
      </w:r>
      <w:r>
        <w:rPr>
          <w:rFonts w:ascii="Times New Roman" w:hAnsi="Times New Roman"/>
          <w:b w:val="false"/>
          <w:i w:val="false"/>
          <w:color w:val="000000"/>
          <w:sz w:val="24"/>
        </w:rPr>
        <w:t> </w:t>
      </w:r>
      <w:r>
        <w:rPr>
          <w:rFonts w:ascii="Times New Roman" w:hAnsi="Times New Roman"/>
          <w:b w:val="false"/>
          <w:i/>
          <w:color w:val="000000"/>
          <w:sz w:val="24"/>
        </w:rPr>
        <w:t xml:space="preserve">Expenses not listed. </w:t>
      </w:r>
      <w:r>
        <w:rPr>
          <w:rFonts w:ascii="Times New Roman" w:hAnsi="Times New Roman"/>
          <w:b w:val="false"/>
          <w:i w:val="false"/>
          <w:color w:val="000000"/>
          <w:sz w:val="24"/>
        </w:rPr>
        <w:t xml:space="preserve">Expenses not covered in subrule </w:t>
      </w:r>
      <w:hyperlink r:id="rId17">
        <w:r>
          <w:rPr>
            <w:rStyle w:val="Hyperlink"/>
            <w:rFonts w:ascii="Times New Roman" w:hAnsi="Times New Roman"/>
            <w:b w:val="false"/>
            <w:i w:val="false"/>
            <w:color w:val="000000"/>
            <w:sz w:val="24"/>
          </w:rPr>
          <w:t>151.4(1)</w:t>
        </w:r>
      </w:hyperlink>
      <w:r>
        <w:rPr>
          <w:rFonts w:ascii="Times New Roman" w:hAnsi="Times New Roman"/>
          <w:b w:val="false"/>
          <w:i w:val="false"/>
          <w:color w:val="000000"/>
          <w:sz w:val="24"/>
        </w:rPr>
        <w:t xml:space="preserve"> will be eligible for reimbursement from court-ordered service funds only under the following circumstances: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expense is for a child welfare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expense is authorized by the court;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reimbursement is not in conflict with current law or administrative rule,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No alternative funding sources are available to pay for the service.  </w:t>
      </w:r>
    </w:p>
    <w:p>
      <w:pPr>
        <w:spacing w:before="0" w:after="0" w:line="480"/>
        <w:ind w:left="120"/>
        <w:jc w:val="both"/>
      </w:pPr>
      <w:r>
        <w:rPr>
          <w:rFonts w:ascii="Times New Roman" w:hAnsi="Times New Roman"/>
          <w:b w:val="false"/>
          <w:i w:val="false"/>
          <w:color w:val="000000"/>
          <w:sz w:val="24"/>
        </w:rPr>
        <w:t xml:space="preserve"> These rules are intended to implement Iowa Code section </w:t>
      </w:r>
      <w:hyperlink r:id="rId18">
        <w:r>
          <w:rPr>
            <w:rStyle w:val="Hyperlink"/>
            <w:rFonts w:ascii="Times New Roman" w:hAnsi="Times New Roman"/>
            <w:b w:val="false"/>
            <w:i w:val="false"/>
            <w:color w:val="000000"/>
            <w:sz w:val="24"/>
          </w:rPr>
          <w:t>232.141</w:t>
        </w:r>
      </w:hyperlink>
      <w:r>
        <w:rPr>
          <w:rFonts w:ascii="Times New Roman" w:hAnsi="Times New Roman"/>
          <w:b w:val="false"/>
          <w:i w:val="false"/>
          <w:color w:val="000000"/>
          <w:sz w:val="24"/>
        </w:rPr>
        <w:t xml:space="preserve">. </w:t>
      </w: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7E.pdf" Type="http://schemas.openxmlformats.org/officeDocument/2006/relationships/hyperlink" Id="rId6"/>
    <Relationship TargetMode="External" Target="https://www.legis.iowa.gov/docs/ico/chapter/8.pdf" Type="http://schemas.openxmlformats.org/officeDocument/2006/relationships/hyperlink" Id="rId7"/>
    <Relationship TargetMode="External" Target="https://www.legis.iowa.gov/docs/ico/chapter/232.pdf" Type="http://schemas.openxmlformats.org/officeDocument/2006/relationships/hyperlink" Id="rId8"/>
    <Relationship TargetMode="External" Target="https://www.legis.iowa.gov/docs/ico/chapter/602.pdf" Type="http://schemas.openxmlformats.org/officeDocument/2006/relationships/hyperlink" Id="rId9"/>
    <Relationship TargetMode="External" Target="https://www.legis.iowa.gov/docs/iac/rule/441.151.4.pdf" Type="http://schemas.openxmlformats.org/officeDocument/2006/relationships/hyperlink" Id="rId10"/>
    <Relationship TargetMode="External" Target="https://www.legis.iowa.gov/docs/iac/rule/441.151.4.pdf" Type="http://schemas.openxmlformats.org/officeDocument/2006/relationships/hyperlink" Id="rId11"/>
    <Relationship TargetMode="External" Target="https://www.legis.iowa.gov/docs/iac/rule/441.151.4.pdf" Type="http://schemas.openxmlformats.org/officeDocument/2006/relationships/hyperlink" Id="rId12"/>
    <Relationship TargetMode="External" Target="https://www.legis.iowa.gov/docs/iac/rule/441.151.4.pdf" Type="http://schemas.openxmlformats.org/officeDocument/2006/relationships/hyperlink" Id="rId13"/>
    <Relationship TargetMode="External" Target="https://www.legis.iowa.gov/docs/ico/chapter/232.49.pdf" Type="http://schemas.openxmlformats.org/officeDocument/2006/relationships/hyperlink" Id="rId14"/>
    <Relationship TargetMode="External" Target="https://www.legis.iowa.gov/docs/ico/chapter/232.98.pdf" Type="http://schemas.openxmlformats.org/officeDocument/2006/relationships/hyperlink" Id="rId15"/>
    <Relationship TargetMode="External" Target="https://www.legis.iowa.gov/docs/ico/chapter/249A.pdf" Type="http://schemas.openxmlformats.org/officeDocument/2006/relationships/hyperlink" Id="rId16"/>
    <Relationship TargetMode="External" Target="https://www.legis.iowa.gov/docs/iac/rule/441.151.4.pdf" Type="http://schemas.openxmlformats.org/officeDocument/2006/relationships/hyperlink" Id="rId17"/>
    <Relationship TargetMode="External" Target="https://www.legis.iowa.gov/docs/ico/chapter/232.14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