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line="480"/>
        <w:ind w:left="120"/>
        <w:jc w:val="left"/>
      </w:pPr>
      <w:bookmarkStart w:name="firstARC" w:id="0"/>
      <w:bookmarkEnd w:id="0"/>
    </w:p>
    <w:bookmarkStart w:name="arc9845C" w:id="1"/>
    <w:p>
      <w:pPr>
        <w:spacing w:before="0" w:after="0" w:line="480"/>
        <w:ind w:left="120"/>
        <w:jc w:val="right"/>
      </w:pPr>
      <w:r>
        <w:rPr>
          <w:rFonts w:ascii="Times New Roman" w:hAnsi="Times New Roman"/>
          <w:b/>
          <w:i w:val="false"/>
          <w:color w:val="000000"/>
          <w:sz w:val="28"/>
        </w:rPr>
        <w:t>ARC 9845C</w:t>
      </w:r>
    </w:p>
    <w:bookmarkEnd w:id="1"/>
    <w:p>
      <w:pPr>
        <w:pBdr>
          <w:top w:space="5"/>
        </w:pBdr>
        <w:spacing w:before="0" w:after="0" w:line="480"/>
        <w:ind w:left="120"/>
        <w:jc w:val="center"/>
      </w:pPr>
      <w:r>
        <w:rPr>
          <w:rFonts w:ascii="Times New Roman" w:hAnsi="Times New Roman"/>
          <w:b/>
          <w:i w:val="false"/>
          <w:color w:val="000000"/>
          <w:sz w:val="28"/>
        </w:rPr>
        <w:t>HUMAN SERVICES DEPARTMENT[441]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protective locked environment for certain children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Department of Health and Human Services hereby proposes to amend Chapter 105, “Juvenile Detention and Shelter Care Homes,” Chapter 106, “Certification Standards for Children’s Residential Facilities,” Chapter 114, “Licensing and Regulation of All Group Living Foster Care Facilities for Children,” and Chapter 115, “Licensing and Regulation of Comprehensive Residential Facilities for Children,”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chapter 237C and 2025 Iowa Acts, Senate File 474.</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237C and 2025 Iowa Acts, Senate File 474.</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adds clarification to existing rules and implements 2025 Iowa Acts, Senate File 474, sections 33 through 37, regarding a protective locked environment for certain children. </w:t>
      </w:r>
    </w:p>
    <w:p>
      <w:pPr>
        <w:spacing w:before="0" w:after="0" w:line="480"/>
        <w:ind w:left="120"/>
        <w:jc w:val="both"/>
      </w:pPr>
      <w:r>
        <w:rPr>
          <w:rFonts w:ascii="Times New Roman" w:hAnsi="Times New Roman"/>
          <w:b w:val="false"/>
          <w:i w:val="false"/>
          <w:color w:val="000000"/>
          <w:sz w:val="24"/>
        </w:rPr>
        <w:t>    Proposed references to Iowa Code section 237.1(8A) are to that section as enacted by Senate File 474.</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November 12, 2025.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December 2, 2025</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pursuant to 441—Chapter 6.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January 13, 2026. Comments should be directed to: </w:t>
      </w:r>
    </w:p>
    <w:tbl>
      <w:tblPr>
        <w:tblW w:w="0" w:type="auto"/>
        <w:tblCellSpacing w:w="0" w:type="auto"/>
        <w:tblBorders>
          <w:top w:val="none"/>
          <w:left w:val="none"/>
          <w:bottom w:val="none"/>
          <w:right w:val="none"/>
          <w:insideH w:val="none"/>
          <w:insideV w:val="none"/>
        </w:tblBorders>
      </w:tblPr>
      <w:tblGrid>
        <w:gridCol w:w="11190"/>
      </w:tblGrid>
      <w:tr>
        <w:trPr>
          <w:trHeight w:val="3825" w:hRule="atLeast"/>
        </w:trPr>
        <w:tc>
          <w:tcPr>
            <w:tcW w:w="1119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Victoria L. Daniels </w:t>
            </w:r>
            <w:r>
              <w:br/>
            </w:r>
            <w:r>
              <w:rPr>
                <w:rFonts w:ascii="Times New Roman" w:hAnsi="Times New Roman"/>
                <w:b w:val="false"/>
                <w:i w:val="false"/>
                <w:color w:val="000000"/>
                <w:sz w:val="18"/>
              </w:rPr>
              <w:t xml:space="preserve">Department of Health and Human Services </w:t>
            </w:r>
            <w:r>
              <w:br/>
            </w:r>
            <w:r>
              <w:rPr>
                <w:rFonts w:ascii="Times New Roman" w:hAnsi="Times New Roman"/>
                <w:b w:val="false"/>
                <w:i w:val="false"/>
                <w:color w:val="000000"/>
                <w:sz w:val="18"/>
              </w:rPr>
              <w:t>Lucas State Office Building</w:t>
            </w:r>
            <w:r>
              <w:br/>
            </w:r>
            <w:r>
              <w:rPr>
                <w:rFonts w:ascii="Times New Roman" w:hAnsi="Times New Roman"/>
                <w:b w:val="false"/>
                <w:i w:val="false"/>
                <w:color w:val="000000"/>
                <w:sz w:val="18"/>
              </w:rPr>
              <w:t>321 East 12th Street</w:t>
            </w:r>
            <w:r>
              <w:br/>
            </w:r>
            <w:r>
              <w:rPr>
                <w:rFonts w:ascii="Times New Roman" w:hAnsi="Times New Roman"/>
                <w:b w:val="false"/>
                <w:i w:val="false"/>
                <w:color w:val="000000"/>
                <w:sz w:val="18"/>
              </w:rPr>
              <w:t xml:space="preserve">Des Moines, Iowa 50319 </w:t>
            </w:r>
            <w:r>
              <w:br/>
            </w:r>
            <w:r>
              <w:rPr>
                <w:rFonts w:ascii="Times New Roman" w:hAnsi="Times New Roman"/>
                <w:b w:val="false"/>
                <w:i w:val="false"/>
                <w:color w:val="000000"/>
                <w:sz w:val="18"/>
              </w:rPr>
              <w:t xml:space="preserve">Phone: 515.829.6021 </w:t>
            </w:r>
            <w:r>
              <w:br/>
            </w:r>
            <w:r>
              <w:rPr>
                <w:rFonts w:ascii="Times New Roman" w:hAnsi="Times New Roman"/>
                <w:b w:val="false"/>
                <w:i w:val="false"/>
                <w:color w:val="000000"/>
                <w:sz w:val="18"/>
              </w:rPr>
              <w:t xml:space="preserve">Email: </w:t>
            </w:r>
            <w:hyperlink r:id="rId4">
              <w:r>
                <w:rPr>
                  <w:rStyle w:val="Hyperlink"/>
                  <w:rFonts w:ascii="Times New Roman" w:hAnsi="Times New Roman"/>
                  <w:b w:val="false"/>
                  <w:i w:val="false"/>
                  <w:color w:val="0000ff"/>
                  <w:sz w:val="24"/>
                </w:rPr>
                <w:t>compliancerules@hhs.iowa.gov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Pr>
      <w:tblGrid>
        <w:gridCol w:w="3908"/>
        <w:gridCol w:w="7282"/>
      </w:tblGrid>
      <w:tr>
        <w:trPr>
          <w:trHeight w:val="1470" w:hRule="atLeast"/>
        </w:trPr>
        <w:tc>
          <w:tcPr>
            <w:tcW w:w="390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January 13, 2026</w:t>
            </w:r>
            <w:r>
              <w:br/>
            </w:r>
            <w:r>
              <w:rPr>
                <w:rFonts w:ascii="Times New Roman" w:hAnsi="Times New Roman"/>
                <w:b w:val="false"/>
                <w:i w:val="false"/>
                <w:color w:val="000000"/>
                <w:sz w:val="18"/>
              </w:rPr>
              <w:t xml:space="preserve"> 10 to 10:30 a.m. </w:t>
            </w:r>
          </w:p>
        </w:tc>
        <w:tc>
          <w:tcPr>
            <w:tcW w:w="72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Microsoft Teams</w:t>
            </w:r>
            <w:r>
              <w:br/>
            </w:r>
            <w:r>
              <w:rPr>
                <w:rFonts w:ascii="Times New Roman" w:hAnsi="Times New Roman"/>
                <w:b w:val="false"/>
                <w:i w:val="false"/>
                <w:color w:val="000000"/>
                <w:sz w:val="18"/>
              </w:rPr>
              <w:t xml:space="preserve"> Meeting ID: 215 699 055 154 00</w:t>
            </w:r>
            <w:r>
              <w:br/>
            </w:r>
            <w:r>
              <w:rPr>
                <w:rFonts w:ascii="Times New Roman" w:hAnsi="Times New Roman"/>
                <w:b w:val="false"/>
                <w:i w:val="false"/>
                <w:color w:val="000000"/>
                <w:sz w:val="18"/>
              </w:rPr>
              <w:t xml:space="preserve"> Passcode: m6GB6cj6 </w:t>
            </w:r>
          </w:p>
        </w:tc>
      </w:tr>
      <w:tr>
        <w:trPr>
          <w:trHeight w:val="1470" w:hRule="atLeast"/>
        </w:trPr>
        <w:tc>
          <w:tcPr>
            <w:tcW w:w="390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January 13, 2026</w:t>
            </w:r>
            <w:r>
              <w:br/>
            </w:r>
            <w:r>
              <w:rPr>
                <w:rFonts w:ascii="Times New Roman" w:hAnsi="Times New Roman"/>
                <w:b w:val="false"/>
                <w:i w:val="false"/>
                <w:color w:val="000000"/>
                <w:sz w:val="18"/>
              </w:rPr>
              <w:t xml:space="preserve"> 2 to 2:30 p.m. </w:t>
            </w:r>
          </w:p>
        </w:tc>
        <w:tc>
          <w:tcPr>
            <w:tcW w:w="72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Microsoft Teams</w:t>
            </w:r>
            <w:r>
              <w:br/>
            </w:r>
            <w:r>
              <w:rPr>
                <w:rFonts w:ascii="Times New Roman" w:hAnsi="Times New Roman"/>
                <w:b w:val="false"/>
                <w:i w:val="false"/>
                <w:color w:val="000000"/>
                <w:sz w:val="18"/>
              </w:rPr>
              <w:t xml:space="preserve"> Meeting ID: 247 965 039 141 20</w:t>
            </w:r>
            <w:r>
              <w:br/>
            </w:r>
            <w:r>
              <w:rPr>
                <w:rFonts w:ascii="Times New Roman" w:hAnsi="Times New Roman"/>
                <w:b w:val="false"/>
                <w:i w:val="false"/>
                <w:color w:val="000000"/>
                <w:sz w:val="18"/>
              </w:rPr>
              <w:t xml:space="preserve"> Passcode: KU3Uu7ct </w:t>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Department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definition of </w:t>
      </w:r>
      <w:r>
        <w:rPr>
          <w:rFonts w:ascii="Times New Roman" w:hAnsi="Times New Roman"/>
          <w:b w:val="false"/>
          <w:i w:val="false"/>
          <w:color w:val="000000"/>
          <w:sz w:val="24"/>
        </w:rPr>
        <w:t>“Protective locked environment”</w:t>
      </w:r>
      <w:r>
        <w:rPr>
          <w:rFonts w:ascii="Times New Roman" w:hAnsi="Times New Roman"/>
          <w:b w:val="false"/>
          <w:i w:val="false"/>
          <w:color w:val="000000"/>
          <w:sz w:val="24"/>
        </w:rPr>
        <w:t xml:space="preserve"> in rule </w:t>
      </w:r>
      <w:r>
        <w:rPr>
          <w:rFonts w:ascii="Times New Roman" w:hAnsi="Times New Roman"/>
          <w:b/>
          <w:i w:val="false"/>
          <w:color w:val="000000"/>
          <w:sz w:val="24"/>
        </w:rPr>
        <w:t>441—105.1(232)</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color w:val="000000"/>
          <w:sz w:val="24"/>
        </w:rPr>
        <w:t xml:space="preserve">“Protective locked environment” </w:t>
      </w:r>
      <w:r>
        <w:rPr>
          <w:rFonts w:ascii="Times New Roman" w:hAnsi="Times New Roman"/>
          <w:b w:val="false"/>
          <w:i w:val="false"/>
          <w:color w:val="000000"/>
          <w:sz w:val="24"/>
        </w:rPr>
        <w:t xml:space="preserve">means the same as defined in Iowa Code section </w:t>
      </w:r>
      <w:hyperlink r:id="rId6">
        <w:r>
          <w:rPr>
            <w:rStyle w:val="Hyperlink"/>
            <w:rFonts w:ascii="Times New Roman" w:hAnsi="Times New Roman"/>
            <w:b w:val="false"/>
            <w:i w:val="false"/>
            <w:color w:val="000000"/>
            <w:sz w:val="24"/>
          </w:rPr>
          <w:t>237.1(8A)</w:t>
        </w:r>
      </w:hyperlink>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paragraph </w:t>
      </w:r>
      <w:r>
        <w:rPr>
          <w:rFonts w:ascii="Times New Roman" w:hAnsi="Times New Roman"/>
          <w:b/>
          <w:i w:val="false"/>
          <w:color w:val="000000"/>
          <w:sz w:val="24"/>
        </w:rPr>
        <w:t>105.8(10)“g”</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Defining protective locked environment and how it is utilized to provide safety and security for children.</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definition of </w:t>
      </w:r>
      <w:r>
        <w:rPr>
          <w:rFonts w:ascii="Times New Roman" w:hAnsi="Times New Roman"/>
          <w:b w:val="false"/>
          <w:i w:val="false"/>
          <w:color w:val="000000"/>
          <w:sz w:val="24"/>
        </w:rPr>
        <w:t>“Protective locked environment,”</w:t>
      </w:r>
      <w:r>
        <w:rPr>
          <w:rFonts w:ascii="Times New Roman" w:hAnsi="Times New Roman"/>
          <w:b w:val="false"/>
          <w:i w:val="false"/>
          <w:color w:val="000000"/>
          <w:sz w:val="24"/>
        </w:rPr>
        <w:t xml:space="preserve"> in rule </w:t>
      </w:r>
      <w:r>
        <w:rPr>
          <w:rFonts w:ascii="Times New Roman" w:hAnsi="Times New Roman"/>
          <w:b/>
          <w:i w:val="false"/>
          <w:color w:val="000000"/>
          <w:sz w:val="24"/>
        </w:rPr>
        <w:t>441—106.1(237C)</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color w:val="000000"/>
          <w:sz w:val="24"/>
        </w:rPr>
        <w:t xml:space="preserve">“Protective locked environment” </w:t>
      </w:r>
      <w:r>
        <w:rPr>
          <w:rFonts w:ascii="Times New Roman" w:hAnsi="Times New Roman"/>
          <w:b w:val="false"/>
          <w:i w:val="false"/>
          <w:color w:val="000000"/>
          <w:sz w:val="24"/>
        </w:rPr>
        <w:t xml:space="preserve">means the same as defined in Iowa Code section </w:t>
      </w:r>
      <w:hyperlink r:id="rId7">
        <w:r>
          <w:rPr>
            <w:rStyle w:val="Hyperlink"/>
            <w:rFonts w:ascii="Times New Roman" w:hAnsi="Times New Roman"/>
            <w:b w:val="false"/>
            <w:i w:val="false"/>
            <w:color w:val="000000"/>
            <w:sz w:val="24"/>
          </w:rPr>
          <w:t>237.1(8A)</w:t>
        </w:r>
      </w:hyperlink>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4.</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definition of </w:t>
      </w:r>
      <w:r>
        <w:rPr>
          <w:rFonts w:ascii="Times New Roman" w:hAnsi="Times New Roman"/>
          <w:b w:val="false"/>
          <w:i w:val="false"/>
          <w:color w:val="000000"/>
          <w:sz w:val="24"/>
        </w:rPr>
        <w:t>“Protective locked environment,”</w:t>
      </w:r>
      <w:r>
        <w:rPr>
          <w:rFonts w:ascii="Times New Roman" w:hAnsi="Times New Roman"/>
          <w:b w:val="false"/>
          <w:i w:val="false"/>
          <w:color w:val="000000"/>
          <w:sz w:val="24"/>
        </w:rPr>
        <w:t xml:space="preserve"> in rule </w:t>
      </w:r>
      <w:r>
        <w:rPr>
          <w:rFonts w:ascii="Times New Roman" w:hAnsi="Times New Roman"/>
          <w:b/>
          <w:i w:val="false"/>
          <w:color w:val="000000"/>
          <w:sz w:val="24"/>
        </w:rPr>
        <w:t>441—114.2(237)</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color w:val="000000"/>
          <w:sz w:val="24"/>
        </w:rPr>
        <w:t xml:space="preserve">“Protective locked environment” </w:t>
      </w:r>
      <w:r>
        <w:rPr>
          <w:rFonts w:ascii="Times New Roman" w:hAnsi="Times New Roman"/>
          <w:b w:val="false"/>
          <w:i w:val="false"/>
          <w:color w:val="000000"/>
          <w:sz w:val="24"/>
        </w:rPr>
        <w:t xml:space="preserve">means the same as defined in Iowa Code section </w:t>
      </w:r>
      <w:hyperlink r:id="rId8">
        <w:r>
          <w:rPr>
            <w:rStyle w:val="Hyperlink"/>
            <w:rFonts w:ascii="Times New Roman" w:hAnsi="Times New Roman"/>
            <w:b w:val="false"/>
            <w:i w:val="false"/>
            <w:color w:val="000000"/>
            <w:sz w:val="24"/>
          </w:rPr>
          <w:t>237.1(8A)</w:t>
        </w:r>
      </w:hyperlink>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5.</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definition of </w:t>
      </w:r>
      <w:r>
        <w:rPr>
          <w:rFonts w:ascii="Times New Roman" w:hAnsi="Times New Roman"/>
          <w:b w:val="false"/>
          <w:i w:val="false"/>
          <w:color w:val="000000"/>
          <w:sz w:val="24"/>
        </w:rPr>
        <w:t>“Protective locked environment,”</w:t>
      </w:r>
      <w:r>
        <w:rPr>
          <w:rFonts w:ascii="Times New Roman" w:hAnsi="Times New Roman"/>
          <w:b w:val="false"/>
          <w:i w:val="false"/>
          <w:color w:val="000000"/>
          <w:sz w:val="24"/>
        </w:rPr>
        <w:t xml:space="preserve"> in rule </w:t>
      </w:r>
      <w:r>
        <w:rPr>
          <w:rFonts w:ascii="Times New Roman" w:hAnsi="Times New Roman"/>
          <w:b/>
          <w:i w:val="false"/>
          <w:color w:val="000000"/>
          <w:sz w:val="24"/>
        </w:rPr>
        <w:t>441—115.2(237)</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color w:val="000000"/>
          <w:sz w:val="24"/>
        </w:rPr>
        <w:t xml:space="preserve">“Protective locked environment” </w:t>
      </w:r>
      <w:r>
        <w:rPr>
          <w:rFonts w:ascii="Times New Roman" w:hAnsi="Times New Roman"/>
          <w:b w:val="false"/>
          <w:i w:val="false"/>
          <w:color w:val="000000"/>
          <w:sz w:val="24"/>
        </w:rPr>
        <w:t xml:space="preserve">means the same as defined in Iowa Code section </w:t>
      </w:r>
      <w:hyperlink r:id="rId9">
        <w:r>
          <w:rPr>
            <w:rStyle w:val="Hyperlink"/>
            <w:rFonts w:ascii="Times New Roman" w:hAnsi="Times New Roman"/>
            <w:b w:val="false"/>
            <w:i w:val="false"/>
            <w:color w:val="000000"/>
            <w:sz w:val="24"/>
          </w:rPr>
          <w:t>237.1(8A)</w:t>
        </w:r>
      </w:hyperlink>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6.</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the definition of </w:t>
      </w:r>
      <w:r>
        <w:rPr>
          <w:rFonts w:ascii="Times New Roman" w:hAnsi="Times New Roman"/>
          <w:b w:val="false"/>
          <w:i w:val="false"/>
          <w:color w:val="000000"/>
          <w:sz w:val="24"/>
        </w:rPr>
        <w:t>“Nonsecure facility”</w:t>
      </w:r>
      <w:r>
        <w:rPr>
          <w:rFonts w:ascii="Times New Roman" w:hAnsi="Times New Roman"/>
          <w:b w:val="false"/>
          <w:i w:val="false"/>
          <w:color w:val="000000"/>
          <w:sz w:val="24"/>
        </w:rPr>
        <w:t xml:space="preserve"> in rule </w:t>
      </w:r>
      <w:r>
        <w:rPr>
          <w:rFonts w:ascii="Times New Roman" w:hAnsi="Times New Roman"/>
          <w:b/>
          <w:i w:val="false"/>
          <w:color w:val="000000"/>
          <w:sz w:val="24"/>
        </w:rPr>
        <w:t>441—115.2(237)</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7.</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115.6(1)</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115.6(1)</w:t>
      </w:r>
      <w:r>
        <w:rPr>
          <w:rFonts w:ascii="Times New Roman" w:hAnsi="Times New Roman"/>
          <w:b w:val="false"/>
          <w:i w:val="false"/>
          <w:color w:val="000000"/>
          <w:sz w:val="24"/>
        </w:rPr>
        <w:t> </w:t>
      </w:r>
      <w:r>
        <w:rPr>
          <w:rFonts w:ascii="Times New Roman" w:hAnsi="Times New Roman"/>
          <w:b w:val="false"/>
          <w:i/>
          <w:strike/>
          <w:color w:val="000000"/>
          <w:sz w:val="24"/>
        </w:rPr>
        <w:t>Nonsecure</w:t>
      </w:r>
      <w:r>
        <w:rPr>
          <w:rFonts w:ascii="Times New Roman" w:hAnsi="Times New Roman"/>
          <w:b w:val="false"/>
          <w:i/>
          <w:color w:val="000000"/>
          <w:sz w:val="24"/>
          <w:u w:val="single"/>
        </w:rPr>
        <w:t> </w:t>
      </w:r>
      <w:r>
        <w:rPr>
          <w:rFonts w:ascii="Times New Roman" w:hAnsi="Times New Roman"/>
          <w:b w:val="false"/>
          <w:i/>
          <w:color w:val="000000"/>
          <w:sz w:val="24"/>
          <w:u w:val="single"/>
        </w:rPr>
        <w:t>Protective locked environment</w:t>
      </w:r>
      <w:r>
        <w:rPr>
          <w:rFonts w:ascii="Times New Roman" w:hAnsi="Times New Roman"/>
          <w:b w:val="false"/>
          <w:i/>
          <w:color w:val="000000"/>
          <w:sz w:val="24"/>
        </w:rPr>
        <w:t xml:space="preserve"> facilities. </w:t>
      </w:r>
      <w:r>
        <w:rPr>
          <w:rFonts w:ascii="Times New Roman" w:hAnsi="Times New Roman"/>
          <w:b w:val="false"/>
          <w:i w:val="false"/>
          <w:color w:val="000000"/>
          <w:sz w:val="24"/>
        </w:rPr>
        <w:t xml:space="preserve">Physical restraints and a control room are permitted in </w:t>
      </w:r>
      <w:r>
        <w:rPr>
          <w:rFonts w:ascii="Times New Roman" w:hAnsi="Times New Roman"/>
          <w:b w:val="false"/>
          <w:i w:val="false"/>
          <w:strike/>
          <w:color w:val="000000"/>
          <w:sz w:val="24"/>
        </w:rPr>
        <w:t>nonsecure</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protective locked environment</w:t>
      </w:r>
      <w:r>
        <w:rPr>
          <w:rFonts w:ascii="Times New Roman" w:hAnsi="Times New Roman"/>
          <w:b w:val="false"/>
          <w:i w:val="false"/>
          <w:color w:val="000000"/>
          <w:sz w:val="24"/>
        </w:rPr>
        <w:t xml:space="preserve"> facilities.</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8.</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115.6(3)</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115.6(3)</w:t>
      </w:r>
      <w:r>
        <w:rPr>
          <w:rFonts w:ascii="Times New Roman" w:hAnsi="Times New Roman"/>
          <w:b w:val="false"/>
          <w:i w:val="false"/>
          <w:color w:val="000000"/>
          <w:sz w:val="24"/>
        </w:rPr>
        <w:t> </w:t>
      </w:r>
      <w:r>
        <w:rPr>
          <w:rFonts w:ascii="Times New Roman" w:hAnsi="Times New Roman"/>
          <w:b w:val="false"/>
          <w:i/>
          <w:color w:val="000000"/>
          <w:sz w:val="24"/>
        </w:rPr>
        <w:t xml:space="preserve">Written policies. </w:t>
      </w:r>
      <w:r>
        <w:rPr>
          <w:rFonts w:ascii="Times New Roman" w:hAnsi="Times New Roman"/>
          <w:b w:val="false"/>
          <w:i w:val="false"/>
          <w:color w:val="000000"/>
          <w:sz w:val="24"/>
        </w:rPr>
        <w:t xml:space="preserve">A facility </w:t>
      </w:r>
      <w:r>
        <w:rPr>
          <w:rFonts w:ascii="Times New Roman" w:hAnsi="Times New Roman"/>
          <w:b w:val="false"/>
          <w:i w:val="false"/>
          <w:strike/>
          <w:color w:val="000000"/>
          <w:sz w:val="24"/>
        </w:rPr>
        <w:t>which</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that</w:t>
      </w:r>
      <w:r>
        <w:rPr>
          <w:rFonts w:ascii="Times New Roman" w:hAnsi="Times New Roman"/>
          <w:b w:val="false"/>
          <w:i w:val="false"/>
          <w:color w:val="000000"/>
          <w:sz w:val="24"/>
        </w:rPr>
        <w:t xml:space="preserve"> uses restraints shall have a written policy on their use. This policy shall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 and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Identification of staff</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or licensed professionals</w:t>
      </w:r>
      <w:r>
        <w:rPr>
          <w:rFonts w:ascii="Times New Roman" w:hAnsi="Times New Roman"/>
          <w:b w:val="false"/>
          <w:i w:val="false"/>
          <w:color w:val="000000"/>
          <w:sz w:val="24"/>
        </w:rPr>
        <w:t xml:space="preserve"> authorized to approve and use each form of restraint.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 to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9.</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115.6(4)“b”</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facility shall not use restraint as a disciplinary or punitive measure, for staff convenience,</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as a preventive measure,</w:t>
      </w:r>
      <w:r>
        <w:rPr>
          <w:rFonts w:ascii="Times New Roman" w:hAnsi="Times New Roman"/>
          <w:b w:val="false"/>
          <w:i w:val="false"/>
          <w:color w:val="000000"/>
          <w:sz w:val="24"/>
        </w:rPr>
        <w:t xml:space="preserve"> or as a substitute for programming.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10.</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115.6(4)“d”</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A secure facility shall continually review any use of a restraint on a child, other than physical restraint. </w:t>
      </w:r>
      <w:r>
        <w:rPr>
          <w:rFonts w:ascii="Times New Roman" w:hAnsi="Times New Roman"/>
          <w:b w:val="false"/>
          <w:i w:val="false"/>
          <w:strike/>
          <w:color w:val="000000"/>
          <w:sz w:val="24"/>
        </w:rPr>
        <w:t>The facility shall release the child from restraint immediately when the situation precipitating restraint no longer exists.</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paragraph </w:t>
      </w:r>
      <w:r>
        <w:rPr>
          <w:rFonts w:ascii="Times New Roman" w:hAnsi="Times New Roman"/>
          <w:b/>
          <w:i w:val="false"/>
          <w:color w:val="000000"/>
          <w:sz w:val="24"/>
        </w:rPr>
        <w:t>115.6(4)“e”</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 facility shall release the child from restraint immediately when the situation precipitating restraint no longer exists.</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12.</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115.7(4)“g”</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The child shall remain in the control room longer than one hour only with consultation and approval from the </w:t>
      </w:r>
      <w:r>
        <w:rPr>
          <w:rFonts w:ascii="Times New Roman" w:hAnsi="Times New Roman"/>
          <w:b w:val="false"/>
          <w:i w:val="false"/>
          <w:strike/>
          <w:color w:val="000000"/>
          <w:sz w:val="24"/>
        </w:rPr>
        <w:t>supervisor</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authorized staff or licensed professional</w:t>
      </w:r>
      <w:r>
        <w:rPr>
          <w:rFonts w:ascii="Times New Roman" w:hAnsi="Times New Roman"/>
          <w:b w:val="false"/>
          <w:i w:val="false"/>
          <w:color w:val="000000"/>
          <w:sz w:val="24"/>
        </w:rPr>
        <w:t>. Documentation in the child’s case record shall include the time in the control room, the reasons for the control, and the reasons for the extension of time. Use of the control room for a total of more than 12 hours in any 24-hour period shall occur only after authorization of the psychiatrist or upon court order. In no case shall a child be in a control room for a period longer than 24 hours.</w:t>
      </w:r>
    </w:p>
    <w:p>
      <w:pPr>
        <w:spacing w:before="0" w:after="0" w:line="480"/>
        <w:ind w:left="120"/>
        <w:jc w:val="left"/>
      </w:pPr>
      <w:bookmarkStart w:name="lastARC" w:id="2"/>
      <w:bookmarkEnd w:id="2"/>
    </w:p>
    <w:sectPr>
      <w:footerReference r:id="rId1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mpliancerules@hhs.iowa.gov"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co/chapter/237.1.pdf" Type="http://schemas.openxmlformats.org/officeDocument/2006/relationships/hyperlink" Id="rId6"/>
    <Relationship TargetMode="External" Target="https://www.legis.iowa.gov/docs/ico/chapter/237.1.pdf" Type="http://schemas.openxmlformats.org/officeDocument/2006/relationships/hyperlink" Id="rId7"/>
    <Relationship TargetMode="External" Target="https://www.legis.iowa.gov/docs/ico/chapter/237.1.pdf" Type="http://schemas.openxmlformats.org/officeDocument/2006/relationships/hyperlink" Id="rId8"/>
    <Relationship TargetMode="External" Target="https://www.legis.iowa.gov/docs/ico/chapter/237.1.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