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4C" w:id="1"/>
    <w:p>
      <w:pPr>
        <w:spacing w:before="0" w:after="0" w:line="480"/>
        <w:ind w:left="120"/>
        <w:jc w:val="right"/>
      </w:pPr>
      <w:r>
        <w:rPr>
          <w:rFonts w:ascii="Times New Roman" w:hAnsi="Times New Roman"/>
          <w:b/>
          <w:i w:val="false"/>
          <w:color w:val="000000"/>
          <w:sz w:val="28"/>
        </w:rPr>
        <w:t>ARC 9844C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opioid settlement fund disbursement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306, “Opioid Settlement Fund Disbursement,”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12.51 and 2025 Iowa Acts, House File 1038.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12.51 and 2025 Iowa Acts, House File 1038.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is intended to implement division I of 2025 Iowa Acts, House File 1038, by adopting rules to outline the Department’s responsibilities in the distribution of funds from the State of Iowa’s Opioid Settlement Fund.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Division II of the Act provided a supplement appropriation of $29 million. Following that, it is estimated that the Department will receive the following amounts of funds for disbursement: FY 2026, $28,611,794; FY 2027, $7,433,269; FY 2028, $5,590,470; FY 2029, $8,011,520; and FY 2030, $8,212,828.</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306</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306</w:t>
      </w:r>
    </w:p>
    <w:p>
      <w:pPr>
        <w:spacing w:before="0" w:after="0" w:line="480"/>
        <w:ind w:left="120"/>
        <w:jc w:val="center"/>
      </w:pPr>
      <w:r>
        <w:rPr>
          <w:rFonts w:ascii="Times New Roman" w:hAnsi="Times New Roman"/>
          <w:b w:val="false"/>
          <w:i w:val="false"/>
          <w:color w:val="000000"/>
          <w:sz w:val="21"/>
        </w:rPr>
        <w:t>OPIOID SETTLEMENT FUND DISBURSEMENT</w:t>
      </w:r>
    </w:p>
    <w:p>
      <w:pPr>
        <w:spacing w:before="0" w:after="0" w:line="480"/>
        <w:ind w:left="120"/>
        <w:jc w:val="both"/>
      </w:pPr>
      <w:r>
        <w:rPr>
          <w:rFonts w:ascii="Times New Roman" w:hAnsi="Times New Roman"/>
          <w:b/>
          <w:i w:val="false"/>
          <w:color w:val="000000"/>
          <w:sz w:val="24"/>
        </w:rPr>
        <w:t>441—306.1</w:t>
      </w:r>
      <w:r>
        <w:rPr>
          <w:rFonts w:ascii="Times New Roman" w:hAnsi="Times New Roman"/>
          <w:b/>
          <w:i w:val="false"/>
          <w:color w:val="000000"/>
          <w:sz w:val="24"/>
        </w:rPr>
        <w:t xml:space="preserve">(12) </w:t>
      </w:r>
      <w:r>
        <w:rPr>
          <w:rFonts w:ascii="Times New Roman" w:hAnsi="Times New Roman"/>
          <w:b/>
          <w:i w:val="false"/>
          <w:color w:val="000000"/>
          <w:sz w:val="24"/>
        </w:rPr>
        <w:t xml:space="preserve">Definition.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“Fund” </w:t>
      </w:r>
      <w:r>
        <w:rPr>
          <w:rFonts w:ascii="Times New Roman" w:hAnsi="Times New Roman"/>
          <w:b w:val="false"/>
          <w:i w:val="false"/>
          <w:color w:val="000000"/>
          <w:sz w:val="24"/>
        </w:rPr>
        <w:t xml:space="preserve">means the opioid settlement fund created in Iowa Code section </w:t>
      </w:r>
      <w:hyperlink r:id="rId6">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441—306.2</w:t>
      </w:r>
      <w:r>
        <w:rPr>
          <w:rFonts w:ascii="Times New Roman" w:hAnsi="Times New Roman"/>
          <w:b/>
          <w:i w:val="false"/>
          <w:color w:val="000000"/>
          <w:sz w:val="24"/>
        </w:rPr>
        <w:t xml:space="preserve">(12) </w:t>
      </w:r>
      <w:r>
        <w:rPr>
          <w:rFonts w:ascii="Times New Roman" w:hAnsi="Times New Roman"/>
          <w:b/>
          <w:i w:val="false"/>
          <w:color w:val="000000"/>
          <w:sz w:val="24"/>
        </w:rPr>
        <w:t xml:space="preserve">Methodology. </w:t>
      </w:r>
      <w:r>
        <w:rPr>
          <w:rFonts w:ascii="Times New Roman" w:hAnsi="Times New Roman"/>
          <w:b w:val="false"/>
          <w:i w:val="false"/>
          <w:color w:val="000000"/>
          <w:sz w:val="24"/>
        </w:rPr>
        <w:t xml:space="preserve">To facilitate the fund disbursement required by Iowa Code section </w:t>
      </w:r>
      <w:hyperlink r:id="rId7">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 xml:space="preserve">, the department may solicit requests for proposals pursuant to rules of the department of administrative services each fiscal year, starting with the fiscal year beginning July 1, 2025. The department may pursue additional funding mechanisms as fund availability and opportunities allow. </w:t>
      </w:r>
    </w:p>
    <w:p>
      <w:pPr>
        <w:spacing w:before="210" w:after="0" w:line="480"/>
        <w:ind w:left="120"/>
        <w:jc w:val="both"/>
      </w:pPr>
      <w:r>
        <w:rPr>
          <w:rFonts w:ascii="Times New Roman" w:hAnsi="Times New Roman"/>
          <w:b/>
          <w:i w:val="false"/>
          <w:color w:val="000000"/>
          <w:sz w:val="24"/>
        </w:rPr>
        <w:t>441—306.3</w:t>
      </w:r>
      <w:r>
        <w:rPr>
          <w:rFonts w:ascii="Times New Roman" w:hAnsi="Times New Roman"/>
          <w:b/>
          <w:i w:val="false"/>
          <w:color w:val="000000"/>
          <w:sz w:val="24"/>
        </w:rPr>
        <w:t xml:space="preserve">(12) </w:t>
      </w:r>
      <w:r>
        <w:rPr>
          <w:rFonts w:ascii="Times New Roman" w:hAnsi="Times New Roman"/>
          <w:b/>
          <w:i w:val="false"/>
          <w:color w:val="000000"/>
          <w:sz w:val="24"/>
        </w:rPr>
        <w:t xml:space="preserve">Outcome measurement. </w:t>
      </w:r>
      <w:r>
        <w:rPr>
          <w:rFonts w:ascii="Times New Roman" w:hAnsi="Times New Roman"/>
          <w:b w:val="false"/>
          <w:i w:val="false"/>
          <w:color w:val="000000"/>
          <w:sz w:val="24"/>
        </w:rPr>
        <w:t>Subsequent to the awarding of disbursements, the department will formulate indicators to be used to help identify if the outcomes intended for each disbursement are being met. Intended outcomes can include but are not to be limited to prevention of opioid-related deaths, reduction of opioid misuse, and increased access to appropriate medication and services.</w:t>
      </w:r>
    </w:p>
    <w:p>
      <w:pPr>
        <w:spacing w:before="210" w:after="0" w:line="480"/>
        <w:ind w:left="120"/>
        <w:jc w:val="both"/>
      </w:pPr>
      <w:r>
        <w:rPr>
          <w:rFonts w:ascii="Times New Roman" w:hAnsi="Times New Roman"/>
          <w:b/>
          <w:i w:val="false"/>
          <w:color w:val="000000"/>
          <w:sz w:val="24"/>
        </w:rPr>
        <w:t>441—306.4</w:t>
      </w:r>
      <w:r>
        <w:rPr>
          <w:rFonts w:ascii="Times New Roman" w:hAnsi="Times New Roman"/>
          <w:b/>
          <w:i w:val="false"/>
          <w:color w:val="000000"/>
          <w:sz w:val="24"/>
        </w:rPr>
        <w:t xml:space="preserve">(12) </w:t>
      </w:r>
      <w:r>
        <w:rPr>
          <w:rFonts w:ascii="Times New Roman" w:hAnsi="Times New Roman"/>
          <w:b/>
          <w:i w:val="false"/>
          <w:color w:val="000000"/>
          <w:sz w:val="24"/>
        </w:rPr>
        <w:t xml:space="preserve">Annual report. </w:t>
      </w:r>
      <w:r>
        <w:rPr>
          <w:rFonts w:ascii="Times New Roman" w:hAnsi="Times New Roman"/>
          <w:b w:val="false"/>
          <w:i w:val="false"/>
          <w:color w:val="000000"/>
          <w:sz w:val="24"/>
        </w:rPr>
        <w:t xml:space="preserve">Starting with the fiscal year beginning on July 1, 2025, on or before November 1, the department will annually submit to the general assembly and to the governor a report that includes the elements required by Iowa Code section </w:t>
      </w:r>
      <w:hyperlink r:id="rId8">
        <w:r>
          <w:rPr>
            <w:rStyle w:val="Hyperlink"/>
            <w:rFonts w:ascii="Times New Roman" w:hAnsi="Times New Roman"/>
            <w:b w:val="false"/>
            <w:i w:val="false"/>
            <w:color w:val="000000"/>
            <w:sz w:val="24"/>
          </w:rPr>
          <w:t>12.51(2)</w:t>
        </w:r>
      </w:hyperlink>
      <w:r>
        <w:rPr>
          <w:rFonts w:ascii="Times New Roman" w:hAnsi="Times New Roman"/>
          <w:b w:val="false"/>
          <w:i/>
          <w:color w:val="000000"/>
          <w:sz w:val="24"/>
        </w:rPr>
        <w:t>“b”</w:t>
      </w:r>
      <w:r>
        <w:rPr>
          <w:rFonts w:ascii="Times New Roman" w:hAnsi="Times New Roman"/>
          <w:b w:val="false"/>
          <w:i w:val="false"/>
          <w:color w:val="000000"/>
          <w:sz w:val="24"/>
        </w:rPr>
        <w:t>(3)(d).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12.51</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1038</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2.51.pdf" Type="http://schemas.openxmlformats.org/officeDocument/2006/relationships/hyperlink" Id="rId6"/>
    <Relationship TargetMode="External" Target="https://www.legis.iowa.gov/docs/ico/chapter/12.51.pdf" Type="http://schemas.openxmlformats.org/officeDocument/2006/relationships/hyperlink" Id="rId7"/>
    <Relationship TargetMode="External" Target="https://www.legis.iowa.gov/docs/ico/chapter/12.51.pdf" Type="http://schemas.openxmlformats.org/officeDocument/2006/relationships/hyperlink" Id="rId8"/>
    <Relationship TargetMode="External" Target="https://www.legis.iowa.gov/docs/ico/chapter/12.5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