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32C" w:id="1"/>
    <w:p>
      <w:pPr>
        <w:spacing w:before="0" w:after="0" w:line="480"/>
        <w:ind w:left="120"/>
        <w:jc w:val="right"/>
      </w:pPr>
      <w:r>
        <w:rPr>
          <w:rFonts w:ascii="Times New Roman" w:hAnsi="Times New Roman"/>
          <w:b/>
          <w:i w:val="false"/>
          <w:color w:val="000000"/>
          <w:sz w:val="28"/>
        </w:rPr>
        <w:t>ARC 9832C</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redevelopment tax credits program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hereby proposes to rescind Chapter 65, “Brownfield and Grayfield Redevelopment,” and adopt a new Chapter 65, “Redevelopment Tax Credits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15.</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65 and adopt a new chapter in lieu thereof. The chapter describes the policies and procedures applicable to the Redevelopment Tax Credits Program available pursuant to Iowa Code chapter 15, subchapter II, part 9, as amended by 2025 Iowa Acts, Senate File 657 and House File 975. The program provides tax credits for the acquisition, remediation, or redevelopment of brownfield and grayfield sites.</w:t>
      </w:r>
    </w:p>
    <w:p>
      <w:pPr>
        <w:spacing w:before="0" w:after="0" w:line="480"/>
        <w:ind w:left="120"/>
        <w:jc w:val="both"/>
      </w:pPr>
      <w:r>
        <w:rPr>
          <w:rFonts w:ascii="Times New Roman" w:hAnsi="Times New Roman"/>
          <w:b w:val="false"/>
          <w:i w:val="false"/>
          <w:color w:val="000000"/>
          <w:sz w:val="24"/>
        </w:rPr>
        <w:t>    The new chapter is clearer and more concise throughout and omits language that duplicates statute. The new chapter omits language that is unnecessary due to the repeal of the Brownfield Redevelopment Program and the elimination of the Brownfield Advisory Council by 2025 Iowa Acts, House File 975. The new chapter also incorporates the Certified Public Accountant (CPA) attestation added to the Redevelopment Tax Credits Program in House File 975. Inconsistencies with statute amended by 2025 Iowa Acts, Senate File 657, have also been addressed.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October 1,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October 21,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261—Chapter 199.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January 15,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45"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Lisa Connell </w:t>
            </w:r>
            <w:r>
              <w:br/>
            </w:r>
            <w:r>
              <w:rPr>
                <w:rFonts w:ascii="Times New Roman" w:hAnsi="Times New Roman"/>
                <w:b w:val="false"/>
                <w:i w:val="false"/>
                <w:color w:val="000000"/>
                <w:sz w:val="18"/>
              </w:rPr>
              <w:t xml:space="preserve">Iowa Economic Development Authority </w:t>
            </w:r>
            <w:r>
              <w:br/>
            </w:r>
            <w:r>
              <w:rPr>
                <w:rFonts w:ascii="Times New Roman" w:hAnsi="Times New Roman"/>
                <w:b w:val="false"/>
                <w:i w:val="false"/>
                <w:color w:val="000000"/>
                <w:sz w:val="18"/>
              </w:rPr>
              <w:t>1963 Bell Avenue, Suite 200</w:t>
            </w:r>
            <w:r>
              <w:br/>
            </w:r>
            <w:r>
              <w:rPr>
                <w:rFonts w:ascii="Times New Roman" w:hAnsi="Times New Roman"/>
                <w:b w:val="false"/>
                <w:i w:val="false"/>
                <w:color w:val="000000"/>
                <w:sz w:val="18"/>
              </w:rPr>
              <w:t xml:space="preserve">Des Moines, Iowa 50315 </w:t>
            </w:r>
            <w:r>
              <w:br/>
            </w:r>
            <w:r>
              <w:rPr>
                <w:rFonts w:ascii="Times New Roman" w:hAnsi="Times New Roman"/>
                <w:b w:val="false"/>
                <w:i w:val="false"/>
                <w:color w:val="000000"/>
                <w:sz w:val="18"/>
              </w:rPr>
              <w:t xml:space="preserve">Phone: 515.348.6163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1488"/>
        <w:gridCol w:w="9702"/>
      </w:tblGrid>
      <w:tr>
        <w:trPr>
          <w:trHeight w:val="1950" w:hRule="atLeast"/>
        </w:trPr>
        <w:tc>
          <w:tcPr>
            <w:tcW w:w="148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January 13, 2026</w:t>
            </w:r>
            <w:r>
              <w:br/>
            </w:r>
            <w:r>
              <w:rPr>
                <w:rFonts w:ascii="Times New Roman" w:hAnsi="Times New Roman"/>
                <w:b w:val="false"/>
                <w:i w:val="false"/>
                <w:color w:val="000000"/>
                <w:sz w:val="18"/>
              </w:rPr>
              <w:t xml:space="preserve"> 9:30 to 9:45 a.m. </w:t>
            </w:r>
          </w:p>
        </w:tc>
        <w:tc>
          <w:tcPr>
            <w:tcW w:w="970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Via Microsoft Teams</w:t>
            </w:r>
            <w:r>
              <w:br/>
            </w:r>
            <w:r>
              <w:rPr>
                <w:rFonts w:ascii="Times New Roman" w:hAnsi="Times New Roman"/>
                <w:b w:val="false"/>
                <w:i w:val="false"/>
                <w:color w:val="000000"/>
                <w:sz w:val="18"/>
              </w:rPr>
              <w:t xml:space="preserve"> Information about Teams participation can be found at</w:t>
            </w:r>
            <w:r>
              <w:br/>
            </w:r>
            <w:r>
              <w:rPr>
                <w:rFonts w:ascii="Times New Roman" w:hAnsi="Times New Roman"/>
                <w:b w:val="false"/>
                <w:i w:val="false"/>
                <w:color w:val="000000"/>
                <w:sz w:val="18"/>
              </w:rPr>
              <w:t xml:space="preserve"> </w:t>
            </w:r>
            <w:hyperlink r:id="rId5">
              <w:r>
                <w:rPr>
                  <w:rStyle w:val="Hyperlink"/>
                  <w:rFonts w:ascii="Times New Roman" w:hAnsi="Times New Roman"/>
                  <w:b w:val="false"/>
                  <w:i w:val="false"/>
                  <w:color w:val="0000ff"/>
                  <w:sz w:val="24"/>
                </w:rPr>
                <w:t>opportunityiowa.gov/about/iowa-economic-development-authority/ieda-red-tape-review</w:t>
              </w:r>
            </w:hyperlink>
          </w:p>
        </w:tc>
      </w:tr>
      <w:tr>
        <w:trPr>
          <w:trHeight w:val="1950" w:hRule="atLeast"/>
        </w:trPr>
        <w:tc>
          <w:tcPr>
            <w:tcW w:w="148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January 15, 2026</w:t>
            </w:r>
            <w:r>
              <w:br/>
            </w:r>
            <w:r>
              <w:rPr>
                <w:rFonts w:ascii="Times New Roman" w:hAnsi="Times New Roman"/>
                <w:b w:val="false"/>
                <w:i w:val="false"/>
                <w:color w:val="000000"/>
                <w:sz w:val="18"/>
              </w:rPr>
              <w:t xml:space="preserve"> 9:30 to 9:45 a.m. </w:t>
            </w:r>
          </w:p>
        </w:tc>
        <w:tc>
          <w:tcPr>
            <w:tcW w:w="970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Via Microsoft Teams</w:t>
            </w:r>
            <w:r>
              <w:br/>
            </w:r>
            <w:r>
              <w:rPr>
                <w:rFonts w:ascii="Times New Roman" w:hAnsi="Times New Roman"/>
                <w:b w:val="false"/>
                <w:i w:val="false"/>
                <w:color w:val="000000"/>
                <w:sz w:val="18"/>
              </w:rPr>
              <w:t xml:space="preserve"> Information about Teams participation can be found at</w:t>
            </w:r>
            <w:r>
              <w:br/>
            </w:r>
            <w:r>
              <w:rPr>
                <w:rFonts w:ascii="Times New Roman" w:hAnsi="Times New Roman"/>
                <w:b w:val="false"/>
                <w:i w:val="false"/>
                <w:color w:val="000000"/>
                <w:sz w:val="18"/>
              </w:rPr>
              <w:t xml:space="preserve"> </w:t>
            </w:r>
            <w:hyperlink r:id="rId6">
              <w:r>
                <w:rPr>
                  <w:rStyle w:val="Hyperlink"/>
                  <w:rFonts w:ascii="Times New Roman" w:hAnsi="Times New Roman"/>
                  <w:b w:val="false"/>
                  <w:i w:val="false"/>
                  <w:color w:val="0000ff"/>
                  <w:sz w:val="24"/>
                </w:rPr>
                <w:t>opportunityiowa.gov/about/iowa-economic-development-authority/ieda-red-tape-review</w:t>
              </w:r>
            </w:hyperlink>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65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65</w:t>
      </w:r>
    </w:p>
    <w:p>
      <w:pPr>
        <w:spacing w:before="0" w:after="0" w:line="480"/>
        <w:ind w:left="120"/>
        <w:jc w:val="center"/>
      </w:pPr>
      <w:r>
        <w:rPr>
          <w:rFonts w:ascii="Times New Roman" w:hAnsi="Times New Roman"/>
          <w:b w:val="false"/>
          <w:i w:val="false"/>
          <w:color w:val="000000"/>
          <w:sz w:val="21"/>
        </w:rPr>
        <w:t>REDEVELOPMENT TAX CREDITS PROGRAM</w:t>
      </w:r>
    </w:p>
    <w:p>
      <w:pPr>
        <w:spacing w:before="0" w:after="0" w:line="480"/>
        <w:ind w:left="120"/>
        <w:jc w:val="both"/>
      </w:pPr>
      <w:r>
        <w:rPr>
          <w:rFonts w:ascii="Times New Roman" w:hAnsi="Times New Roman"/>
          <w:b/>
          <w:i w:val="false"/>
          <w:color w:val="000000"/>
          <w:sz w:val="24"/>
        </w:rPr>
        <w:t>261—65.1</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As used in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“Acquisition” </w:t>
      </w:r>
      <w:r>
        <w:rPr>
          <w:rFonts w:ascii="Times New Roman" w:hAnsi="Times New Roman"/>
          <w:b w:val="false"/>
          <w:i w:val="false"/>
          <w:color w:val="000000"/>
          <w:sz w:val="24"/>
        </w:rPr>
        <w:t>means the purchase of brownfield or grayfield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“Affiliate”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“affiliated entity” </w:t>
      </w:r>
      <w:r>
        <w:rPr>
          <w:rFonts w:ascii="Times New Roman" w:hAnsi="Times New Roman"/>
          <w:b w:val="false"/>
          <w:i w:val="false"/>
          <w:color w:val="000000"/>
          <w:sz w:val="24"/>
        </w:rPr>
        <w:t>means any entity to which one or more of the following applies: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entity directly, indirectly, or constructively controls another entity.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entity is directly, indirectly, or constructively controlled by another entity.</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The entity is subject to the control of a common entity. A common entity is one that owns directly or individually more than 10 percent of the voting securities of the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“Authority” </w:t>
      </w:r>
      <w:r>
        <w:rPr>
          <w:rFonts w:ascii="Times New Roman" w:hAnsi="Times New Roman"/>
          <w:b w:val="false"/>
          <w:i w:val="false"/>
          <w:color w:val="000000"/>
          <w:sz w:val="24"/>
        </w:rPr>
        <w:t xml:space="preserve">means the economic development authority created in Iowa Code section </w:t>
      </w:r>
      <w:hyperlink r:id="rId8">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“Board”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15.102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“Brownfield site”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15.291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“Grayfield site”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15.291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“Previously remediated or redeveloped site” </w:t>
      </w:r>
      <w:r>
        <w:rPr>
          <w:rFonts w:ascii="Times New Roman" w:hAnsi="Times New Roman"/>
          <w:b w:val="false"/>
          <w:i w:val="false"/>
          <w:color w:val="000000"/>
          <w:sz w:val="24"/>
        </w:rPr>
        <w:t xml:space="preserve">means a site at which prior remediation or redevelopment has occurred, including development for which an award of tax credits under this chapter has been made, and identified by the authority pursuant to the criteria in subrule </w:t>
      </w:r>
      <w:hyperlink r:id="rId12">
        <w:r>
          <w:rPr>
            <w:rStyle w:val="Hyperlink"/>
            <w:rFonts w:ascii="Times New Roman" w:hAnsi="Times New Roman"/>
            <w:b w:val="false"/>
            <w:i w:val="false"/>
            <w:color w:val="000000"/>
            <w:sz w:val="24"/>
          </w:rPr>
          <w:t>65.2(2)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“Program” </w:t>
      </w:r>
      <w:r>
        <w:rPr>
          <w:rFonts w:ascii="Times New Roman" w:hAnsi="Times New Roman"/>
          <w:b w:val="false"/>
          <w:i w:val="false"/>
          <w:color w:val="000000"/>
          <w:sz w:val="24"/>
        </w:rPr>
        <w:t xml:space="preserve">means the redevelopment tax credits program administered pursuant to Iowa Code chapter </w:t>
      </w:r>
      <w:hyperlink r:id="rId13">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subchapter II, part 9, and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“Qualifying investment” </w:t>
      </w:r>
      <w:r>
        <w:rPr>
          <w:rFonts w:ascii="Times New Roman" w:hAnsi="Times New Roman"/>
          <w:b w:val="false"/>
          <w:i w:val="false"/>
          <w:color w:val="000000"/>
          <w:sz w:val="24"/>
        </w:rPr>
        <w:t xml:space="preserve">means the same as defined in Iowa Code section </w:t>
      </w:r>
      <w:hyperlink r:id="rId14">
        <w:r>
          <w:rPr>
            <w:rStyle w:val="Hyperlink"/>
            <w:rFonts w:ascii="Times New Roman" w:hAnsi="Times New Roman"/>
            <w:b w:val="false"/>
            <w:i w:val="false"/>
            <w:color w:val="000000"/>
            <w:sz w:val="24"/>
          </w:rPr>
          <w:t>15.291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“Qualifying investor” </w:t>
      </w:r>
      <w:r>
        <w:rPr>
          <w:rFonts w:ascii="Times New Roman" w:hAnsi="Times New Roman"/>
          <w:b w:val="false"/>
          <w:i w:val="false"/>
          <w:color w:val="000000"/>
          <w:sz w:val="24"/>
        </w:rPr>
        <w:t>means an applicant who has been approved by the authority to receive a redevelopment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“Qualifying redevelopment project” </w:t>
      </w:r>
      <w:r>
        <w:rPr>
          <w:rFonts w:ascii="Times New Roman" w:hAnsi="Times New Roman"/>
          <w:b w:val="false"/>
          <w:i w:val="false"/>
          <w:color w:val="000000"/>
          <w:sz w:val="24"/>
        </w:rPr>
        <w:t xml:space="preserve">means the same as defined in Iowa Code section </w:t>
      </w:r>
      <w:hyperlink r:id="rId15">
        <w:r>
          <w:rPr>
            <w:rStyle w:val="Hyperlink"/>
            <w:rFonts w:ascii="Times New Roman" w:hAnsi="Times New Roman"/>
            <w:b w:val="false"/>
            <w:i w:val="false"/>
            <w:color w:val="000000"/>
            <w:sz w:val="24"/>
          </w:rPr>
          <w:t>15.291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“Redevelopment” </w:t>
      </w:r>
      <w:r>
        <w:rPr>
          <w:rFonts w:ascii="Times New Roman" w:hAnsi="Times New Roman"/>
          <w:b w:val="false"/>
          <w:i w:val="false"/>
          <w:color w:val="000000"/>
          <w:sz w:val="24"/>
        </w:rPr>
        <w:t xml:space="preserve">means construction or development activities associated with a qualifying redevelopment project that are undertaken either for the purpose of constructing new buildings or improvements at a site where formerly existing buildings have been demolished or for the purpose of rehabilitating, reusing, or repurposing existing buildings or improvements. Redevelopment typically includes projects that result in the elimination of blighting characteristics as defined by Iowa Code section </w:t>
      </w:r>
      <w:hyperlink r:id="rId16">
        <w:r>
          <w:rPr>
            <w:rStyle w:val="Hyperlink"/>
            <w:rFonts w:ascii="Times New Roman" w:hAnsi="Times New Roman"/>
            <w:b w:val="false"/>
            <w:i w:val="false"/>
            <w:color w:val="000000"/>
            <w:sz w:val="24"/>
          </w:rPr>
          <w:t>403.2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“Remediation” </w:t>
      </w:r>
      <w:r>
        <w:rPr>
          <w:rFonts w:ascii="Times New Roman" w:hAnsi="Times New Roman"/>
          <w:b w:val="false"/>
          <w:i w:val="false"/>
          <w:color w:val="000000"/>
          <w:sz w:val="24"/>
        </w:rPr>
        <w:t>includes characterization, risk assessment, removal, and cleanup of environmental contaminants located on and adjacent to a brownfield site in compliance with appropriate Iowa department of natural resources requirements and guidelines.</w:t>
      </w:r>
    </w:p>
    <w:p>
      <w:pPr>
        <w:spacing w:before="0" w:after="0" w:line="480"/>
        <w:ind w:left="120"/>
        <w:jc w:val="both"/>
      </w:pPr>
      <w:r>
        <w:rPr>
          <w:rFonts w:ascii="Times New Roman" w:hAnsi="Times New Roman"/>
          <w:b/>
          <w:i w:val="false"/>
          <w:color w:val="000000"/>
          <w:sz w:val="24"/>
        </w:rPr>
        <w:t>261—65.2</w:t>
      </w:r>
      <w:r>
        <w:rPr>
          <w:rFonts w:ascii="Times New Roman" w:hAnsi="Times New Roman"/>
          <w:b/>
          <w:i w:val="false"/>
          <w:color w:val="000000"/>
          <w:sz w:val="24"/>
        </w:rPr>
        <w:t xml:space="preserve">(15) </w:t>
      </w:r>
      <w:r>
        <w:rPr>
          <w:rFonts w:ascii="Times New Roman" w:hAnsi="Times New Roman"/>
          <w:b/>
          <w:i w:val="false"/>
          <w:color w:val="000000"/>
          <w:sz w:val="24"/>
        </w:rPr>
        <w:t xml:space="preserve">Eligibility. </w:t>
      </w:r>
      <w:r>
        <w:rPr>
          <w:rFonts w:ascii="Times New Roman" w:hAnsi="Times New Roman"/>
          <w:b w:val="false"/>
          <w:i w:val="false"/>
          <w:color w:val="000000"/>
          <w:sz w:val="24"/>
        </w:rPr>
        <w:t xml:space="preserve">To be eligible for the program, an applicant must meet the criteria for eligibility in Iowa Code chapter </w:t>
      </w:r>
      <w:hyperlink r:id="rId17">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xml:space="preserve">, subchapter II, part 17 as amended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and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65.2(1)</w:t>
      </w:r>
      <w:r>
        <w:rPr>
          <w:rFonts w:ascii="Times New Roman" w:hAnsi="Times New Roman"/>
          <w:b w:val="false"/>
          <w:i w:val="false"/>
          <w:color w:val="000000"/>
          <w:sz w:val="24"/>
        </w:rPr>
        <w:t> </w:t>
      </w:r>
      <w:r>
        <w:rPr>
          <w:rFonts w:ascii="Times New Roman" w:hAnsi="Times New Roman"/>
          <w:b w:val="false"/>
          <w:i/>
          <w:color w:val="000000"/>
          <w:sz w:val="24"/>
        </w:rPr>
        <w:t xml:space="preserve">Site control. </w:t>
      </w:r>
      <w:r>
        <w:rPr>
          <w:rFonts w:ascii="Times New Roman" w:hAnsi="Times New Roman"/>
          <w:b w:val="false"/>
          <w:i w:val="false"/>
          <w:color w:val="000000"/>
          <w:sz w:val="24"/>
        </w:rPr>
        <w:t>The applicant must own the brownfield site or grayfield site or the applicant must have an agreement with the owner of a brownfield site or grayfield site prior to applying for tax credits. The agreement will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total cost for remediating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That the owner shall transfer title of the property to the applicant upon completion of the remediation of the property. Title transfer is not required when the applicant is the owner of the property and no title transfer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That upon the subsequent sale of the property by the applicant to a person other than the original owner, the original owner shall receive not more than 75 percent of the estimated total cost of the remediation, acquisition, or redevelopment.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65.2(2)</w:t>
      </w:r>
      <w:r>
        <w:rPr>
          <w:rFonts w:ascii="Times New Roman" w:hAnsi="Times New Roman"/>
          <w:b w:val="false"/>
          <w:i w:val="false"/>
          <w:color w:val="000000"/>
          <w:sz w:val="24"/>
        </w:rPr>
        <w:t> </w:t>
      </w:r>
      <w:r>
        <w:rPr>
          <w:rFonts w:ascii="Times New Roman" w:hAnsi="Times New Roman"/>
          <w:b w:val="false"/>
          <w:i/>
          <w:color w:val="000000"/>
          <w:sz w:val="24"/>
        </w:rPr>
        <w:t xml:space="preserve">Previously remediated or redeveloped sites. </w:t>
      </w:r>
      <w:r>
        <w:rPr>
          <w:rFonts w:ascii="Times New Roman" w:hAnsi="Times New Roman"/>
          <w:b w:val="false"/>
          <w:i w:val="false"/>
          <w:color w:val="000000"/>
          <w:sz w:val="24"/>
        </w:rPr>
        <w:t>The authority will determine whether a project constitutes subsequent redevelopment at the same site as a previously remediated or redeveloped site by considering factors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Whether the redevelopment described in multiple proposed projects is planned for a single parcel.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Whether the redevelopment described in multiple proposed projects is planned for adjacent or contiguous parcels or parcels in very close physical proximity.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Whether all involved parcels are owned by the same entity, different entities, or affiliated entities.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Whether a proposed project is the result of the same planning process as another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Whether the proposed projects are being developed by the same entity, different entities, or affiliated entities.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Whether the development of one proposed project occurs at or near the same time as another proposed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65.2(3)</w:t>
      </w:r>
      <w:r>
        <w:rPr>
          <w:rFonts w:ascii="Times New Roman" w:hAnsi="Times New Roman"/>
          <w:b w:val="false"/>
          <w:i w:val="false"/>
          <w:color w:val="000000"/>
          <w:sz w:val="24"/>
        </w:rPr>
        <w:t> </w:t>
      </w:r>
      <w:r>
        <w:rPr>
          <w:rFonts w:ascii="Times New Roman" w:hAnsi="Times New Roman"/>
          <w:b w:val="false"/>
          <w:i/>
          <w:color w:val="000000"/>
          <w:sz w:val="24"/>
        </w:rPr>
        <w:t xml:space="preserve">Leaking underground storage tanks. </w:t>
      </w:r>
      <w:r>
        <w:rPr>
          <w:rFonts w:ascii="Times New Roman" w:hAnsi="Times New Roman"/>
          <w:b w:val="false"/>
          <w:i w:val="false"/>
          <w:color w:val="000000"/>
          <w:sz w:val="24"/>
        </w:rPr>
        <w:t xml:space="preserve">A project that includes remediation of contaminants being addressed under Iowa’s leaking underground storage tank (UST) program is not eligible for the program unless other nonpetroleum contaminants or petroleum substances not addressed under </w:t>
      </w:r>
      <w:hyperlink r:id="rId18">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xml:space="preserve"> are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65.2(4)</w:t>
      </w:r>
      <w:r>
        <w:rPr>
          <w:rFonts w:ascii="Times New Roman" w:hAnsi="Times New Roman"/>
          <w:b w:val="false"/>
          <w:i w:val="false"/>
          <w:color w:val="000000"/>
          <w:sz w:val="24"/>
        </w:rPr>
        <w:t> </w:t>
      </w:r>
      <w:r>
        <w:rPr>
          <w:rFonts w:ascii="Times New Roman" w:hAnsi="Times New Roman"/>
          <w:b w:val="false"/>
          <w:i/>
          <w:color w:val="000000"/>
          <w:sz w:val="24"/>
        </w:rPr>
        <w:t xml:space="preserve">Violations of law. </w:t>
      </w:r>
      <w:r>
        <w:rPr>
          <w:rFonts w:ascii="Times New Roman" w:hAnsi="Times New Roman"/>
          <w:b w:val="false"/>
          <w:i w:val="false"/>
          <w:color w:val="000000"/>
          <w:sz w:val="24"/>
        </w:rPr>
        <w:t>The authority will determine whether the applicant has a record of violations of law that over a period of time tends to show a consistent pattern or that establishes intentional, criminal, or reckless conduct in violation of such laws. An applicant with such a record of violations of the law shall be ineligible for the program.</w:t>
      </w:r>
    </w:p>
    <w:p>
      <w:pPr>
        <w:spacing w:before="0" w:after="0" w:line="480"/>
        <w:ind w:left="120"/>
        <w:jc w:val="both"/>
      </w:pPr>
      <w:r>
        <w:rPr>
          <w:rFonts w:ascii="Times New Roman" w:hAnsi="Times New Roman"/>
          <w:b/>
          <w:i w:val="false"/>
          <w:color w:val="000000"/>
          <w:sz w:val="24"/>
        </w:rPr>
        <w:t>261—65.3</w:t>
      </w:r>
      <w:r>
        <w:rPr>
          <w:rFonts w:ascii="Times New Roman" w:hAnsi="Times New Roman"/>
          <w:b/>
          <w:i w:val="false"/>
          <w:color w:val="000000"/>
          <w:sz w:val="24"/>
        </w:rPr>
        <w:t xml:space="preserve">(15) </w:t>
      </w:r>
      <w:r>
        <w:rPr>
          <w:rFonts w:ascii="Times New Roman" w:hAnsi="Times New Roman"/>
          <w:b/>
          <w:i w:val="false"/>
          <w:color w:val="000000"/>
          <w:sz w:val="24"/>
        </w:rPr>
        <w:t xml:space="preserve">Limitations on qualifying investment. </w:t>
      </w:r>
      <w:r>
        <w:rPr>
          <w:rFonts w:ascii="Times New Roman" w:hAnsi="Times New Roman"/>
          <w:b w:val="false"/>
          <w:i w:val="false"/>
          <w:color w:val="000000"/>
          <w:sz w:val="24"/>
        </w:rPr>
        <w:t>For the purposes of identifying qualifying investment for the purposes of the program, the following shall not be included:</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portion of the total cost of a project that is financed by federal, state, or local government tax credits, grants, forgivable loans, or other forms of financial assistance that do not require repayment, excluding the tax incentives provided under the program.</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Any costs, including acquisition costs, incurred before the project is approved by the board.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Building permits, building inspection fees, furnishings, appliances, accounting services, legal services, loan origination and other financing costs including interest on construction loans, syndication fees, and related costs; developer fees; or the costs associated with selling or renting the property whether incurred before or after completion of the project.</w:t>
      </w:r>
    </w:p>
    <w:p>
      <w:pPr>
        <w:spacing w:before="0" w:after="0" w:line="480"/>
        <w:ind w:left="120"/>
        <w:jc w:val="both"/>
      </w:pPr>
      <w:r>
        <w:rPr>
          <w:rFonts w:ascii="Times New Roman" w:hAnsi="Times New Roman"/>
          <w:b/>
          <w:i w:val="false"/>
          <w:color w:val="000000"/>
          <w:sz w:val="24"/>
        </w:rPr>
        <w:t>261—65.4</w:t>
      </w:r>
      <w:r>
        <w:rPr>
          <w:rFonts w:ascii="Times New Roman" w:hAnsi="Times New Roman"/>
          <w:b/>
          <w:i w:val="false"/>
          <w:color w:val="000000"/>
          <w:sz w:val="24"/>
        </w:rPr>
        <w:t xml:space="preserve">(15) </w:t>
      </w:r>
      <w:r>
        <w:rPr>
          <w:rFonts w:ascii="Times New Roman" w:hAnsi="Times New Roman"/>
          <w:b/>
          <w:i w:val="false"/>
          <w:color w:val="000000"/>
          <w:sz w:val="24"/>
        </w:rPr>
        <w:t xml:space="preserve">Application—registration of projects—agreements.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Applications for redevelopment tax credits will only be accepted during the annual application period established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investor applying for a tax credit shall provide the authority with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total costs of the qualifying redevelopment project, including the costs of land acquisition, cleanup, and redevelopment.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financing sources of the investment that are directly related to the qualifying redevelopment project for which the investor is seeking approval for a tax credit as provided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other information deemed necessary to review and score the application pursuant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65.4(2)</w:t>
      </w:r>
      <w:r>
        <w:rPr>
          <w:rFonts w:ascii="Times New Roman" w:hAnsi="Times New Roman"/>
          <w:b w:val="false"/>
          <w:i w:val="false"/>
          <w:color w:val="000000"/>
          <w:sz w:val="24"/>
        </w:rPr>
        <w:t> </w:t>
      </w:r>
      <w:r>
        <w:rPr>
          <w:rFonts w:ascii="Times New Roman" w:hAnsi="Times New Roman"/>
          <w:b w:val="false"/>
          <w:i/>
          <w:color w:val="000000"/>
          <w:sz w:val="24"/>
        </w:rPr>
        <w:t xml:space="preserve">Scoring. </w:t>
      </w:r>
      <w:r>
        <w:rPr>
          <w:rFonts w:ascii="Times New Roman" w:hAnsi="Times New Roman"/>
          <w:b w:val="false"/>
          <w:i w:val="false"/>
          <w:color w:val="000000"/>
          <w:sz w:val="24"/>
        </w:rPr>
        <w:t xml:space="preserve">Each complete and eligible application will be reviewed and scored by the authority pursuant to Iowa Code section </w:t>
      </w:r>
      <w:hyperlink r:id="rId19">
        <w:r>
          <w:rPr>
            <w:rStyle w:val="Hyperlink"/>
            <w:rFonts w:ascii="Times New Roman" w:hAnsi="Times New Roman"/>
            <w:b w:val="false"/>
            <w:i w:val="false"/>
            <w:color w:val="000000"/>
            <w:sz w:val="24"/>
          </w:rPr>
          <w:t>15.293B(1)</w:t>
        </w:r>
      </w:hyperlink>
      <w:r>
        <w:rPr>
          <w:rFonts w:ascii="Times New Roman" w:hAnsi="Times New Roman"/>
          <w:b w:val="false"/>
          <w:i/>
          <w:color w:val="000000"/>
          <w:sz w:val="24"/>
        </w:rPr>
        <w:t>“f”</w:t>
      </w:r>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2025 Iowa Acts, House File 975</w:t>
      </w:r>
      <w:r>
        <w:rPr>
          <w:rFonts w:ascii="Times New Roman" w:hAnsi="Times New Roman"/>
          <w:b w:val="false"/>
          <w:i w:val="false"/>
          <w:color w:val="000000"/>
          <w:sz w:val="24"/>
        </w:rPr>
        <w:t>. Review criteria may include but are not limited to project need, project readiness, financial capacity, and project impact.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65.4(3)</w:t>
      </w:r>
      <w:r>
        <w:rPr>
          <w:rFonts w:ascii="Times New Roman" w:hAnsi="Times New Roman"/>
          <w:b w:val="false"/>
          <w:i w:val="false"/>
          <w:color w:val="000000"/>
          <w:sz w:val="24"/>
        </w:rPr>
        <w:t> </w:t>
      </w:r>
      <w:r>
        <w:rPr>
          <w:rFonts w:ascii="Times New Roman" w:hAnsi="Times New Roman"/>
          <w:b w:val="false"/>
          <w:i/>
          <w:color w:val="000000"/>
          <w:sz w:val="24"/>
        </w:rPr>
        <w:t xml:space="preserve">Registration. </w:t>
      </w:r>
      <w:r>
        <w:rPr>
          <w:rFonts w:ascii="Times New Roman" w:hAnsi="Times New Roman"/>
          <w:b w:val="false"/>
          <w:i w:val="false"/>
          <w:color w:val="000000"/>
          <w:sz w:val="24"/>
        </w:rPr>
        <w:t xml:space="preserve">The authority will make tax credit award recommendations and register projects pursuant to Iowa Code section </w:t>
      </w:r>
      <w:hyperlink r:id="rId20">
        <w:r>
          <w:rPr>
            <w:rStyle w:val="Hyperlink"/>
            <w:rFonts w:ascii="Times New Roman" w:hAnsi="Times New Roman"/>
            <w:b w:val="false"/>
            <w:i w:val="false"/>
            <w:color w:val="000000"/>
            <w:sz w:val="24"/>
          </w:rPr>
          <w:t>15.293B(1)</w:t>
        </w:r>
      </w:hyperlink>
      <w:r>
        <w:rPr>
          <w:rFonts w:ascii="Times New Roman" w:hAnsi="Times New Roman"/>
          <w:b w:val="false"/>
          <w:i/>
          <w:color w:val="000000"/>
          <w:sz w:val="24"/>
        </w:rPr>
        <w:t>“e”</w:t>
      </w:r>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2025 Iowa Acts, House File 975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65.4(4)</w:t>
      </w:r>
      <w:r>
        <w:rPr>
          <w:rFonts w:ascii="Times New Roman" w:hAnsi="Times New Roman"/>
          <w:b w:val="false"/>
          <w:i w:val="false"/>
          <w:color w:val="000000"/>
          <w:sz w:val="24"/>
        </w:rPr>
        <w:t> </w:t>
      </w:r>
      <w:r>
        <w:rPr>
          <w:rFonts w:ascii="Times New Roman" w:hAnsi="Times New Roman"/>
          <w:b w:val="false"/>
          <w:i/>
          <w:color w:val="000000"/>
          <w:sz w:val="24"/>
        </w:rPr>
        <w:t xml:space="preserve">Approval. </w:t>
      </w:r>
      <w:r>
        <w:rPr>
          <w:rFonts w:ascii="Times New Roman" w:hAnsi="Times New Roman"/>
          <w:b w:val="false"/>
          <w:i w:val="false"/>
          <w:color w:val="000000"/>
          <w:sz w:val="24"/>
        </w:rPr>
        <w:t xml:space="preserve">Tax credit awards and amounts of tax credit awards are subject to approval by the board pursuant to Iowa Code section </w:t>
      </w:r>
      <w:hyperlink r:id="rId21">
        <w:r>
          <w:rPr>
            <w:rStyle w:val="Hyperlink"/>
            <w:rFonts w:ascii="Times New Roman" w:hAnsi="Times New Roman"/>
            <w:b w:val="false"/>
            <w:i w:val="false"/>
            <w:color w:val="000000"/>
            <w:sz w:val="24"/>
          </w:rPr>
          <w:t>15.293B(1)</w:t>
        </w:r>
      </w:hyperlink>
      <w:r>
        <w:rPr>
          <w:rFonts w:ascii="Times New Roman" w:hAnsi="Times New Roman"/>
          <w:b w:val="false"/>
          <w:i/>
          <w:color w:val="000000"/>
          <w:sz w:val="24"/>
        </w:rPr>
        <w:t>“e”</w:t>
      </w:r>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2025 Iowa Acts, House File 975</w:t>
      </w:r>
      <w:r>
        <w:rPr>
          <w:rFonts w:ascii="Times New Roman" w:hAnsi="Times New Roman"/>
          <w:b w:val="false"/>
          <w:i w:val="false"/>
          <w:color w:val="000000"/>
          <w:sz w:val="24"/>
        </w:rPr>
        <w:t>. Awards may be conditioned upon commitment of other sources of funds necessary to complete the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65.4(5)</w:t>
      </w:r>
      <w:r>
        <w:rPr>
          <w:rFonts w:ascii="Times New Roman" w:hAnsi="Times New Roman"/>
          <w:b w:val="false"/>
          <w:i w:val="false"/>
          <w:color w:val="000000"/>
          <w:sz w:val="24"/>
        </w:rPr>
        <w:t> </w:t>
      </w:r>
      <w:r>
        <w:rPr>
          <w:rFonts w:ascii="Times New Roman" w:hAnsi="Times New Roman"/>
          <w:b w:val="false"/>
          <w:i/>
          <w:color w:val="000000"/>
          <w:sz w:val="24"/>
        </w:rPr>
        <w:t xml:space="preserve">Agreement.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agreement entered pursuant to Iowa Code section </w:t>
      </w:r>
      <w:hyperlink r:id="rId22">
        <w:r>
          <w:rPr>
            <w:rStyle w:val="Hyperlink"/>
            <w:rFonts w:ascii="Times New Roman" w:hAnsi="Times New Roman"/>
            <w:b w:val="false"/>
            <w:i w:val="false"/>
            <w:color w:val="000000"/>
            <w:sz w:val="24"/>
          </w:rPr>
          <w:t>15.293B(3)</w:t>
        </w:r>
      </w:hyperlink>
      <w:r>
        <w:rPr>
          <w:rFonts w:ascii="Times New Roman" w:hAnsi="Times New Roman"/>
          <w:b w:val="false"/>
          <w:i w:val="false"/>
          <w:color w:val="000000"/>
          <w:sz w:val="24"/>
        </w:rPr>
        <w:t xml:space="preserve"> will identify the tax credit amount, the award date, the project completion deadline, the qualifying investment and the total costs of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qualifying investor must execute and return the agreement to the authority within 90 days of transmittal of the final agreement from the authority. Failure to do so may be cause for the board to terminate the award.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Agreement amendments must comply with Iowa Code chapter </w:t>
      </w:r>
      <w:hyperlink r:id="rId23">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xml:space="preserve">, subchapter II, part 9 as amended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and this chapter. Qualifying investors may submit requests for amendments to authority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paragraph </w:t>
      </w:r>
      <w:hyperlink r:id="rId24">
        <w:r>
          <w:rPr>
            <w:rStyle w:val="Hyperlink"/>
            <w:rFonts w:ascii="Times New Roman" w:hAnsi="Times New Roman"/>
            <w:b w:val="false"/>
            <w:i w:val="false"/>
            <w:color w:val="000000"/>
            <w:sz w:val="24"/>
          </w:rPr>
          <w:t>65.4(4)</w:t>
        </w:r>
      </w:hyperlink>
      <w:r>
        <w:rPr>
          <w:rFonts w:ascii="Times New Roman" w:hAnsi="Times New Roman"/>
          <w:b w:val="false"/>
          <w:i/>
          <w:color w:val="000000"/>
          <w:sz w:val="24"/>
        </w:rPr>
        <w:t>“b,”</w:t>
      </w:r>
      <w:r>
        <w:rPr>
          <w:rFonts w:ascii="Times New Roman" w:hAnsi="Times New Roman"/>
          <w:b w:val="false"/>
          <w:i w:val="false"/>
          <w:color w:val="000000"/>
          <w:sz w:val="24"/>
        </w:rPr>
        <w:t xml:space="preserve"> requests to amend an agreement must be approved by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board may designate authority staff with authority to approve nonsubstantive changes, including but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Recipient name, address, and similar changes.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Line-item budget changes that do not reduce overall total project costs or qualifying investment.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Extension of a project completion deadline of up to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Noncompliance with the agreement may result in revocation of all or a portion of the tax credit award pursuant to Iowa Code section </w:t>
      </w:r>
      <w:hyperlink r:id="rId25">
        <w:r>
          <w:rPr>
            <w:rStyle w:val="Hyperlink"/>
            <w:rFonts w:ascii="Times New Roman" w:hAnsi="Times New Roman"/>
            <w:b w:val="false"/>
            <w:i w:val="false"/>
            <w:color w:val="000000"/>
            <w:sz w:val="24"/>
          </w:rPr>
          <w:t>15.293B(3)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65.4(6)</w:t>
      </w:r>
      <w:r>
        <w:rPr>
          <w:rFonts w:ascii="Times New Roman" w:hAnsi="Times New Roman"/>
          <w:b w:val="false"/>
          <w:i w:val="false"/>
          <w:color w:val="000000"/>
          <w:sz w:val="24"/>
        </w:rPr>
        <w:t> </w:t>
      </w:r>
      <w:r>
        <w:rPr>
          <w:rFonts w:ascii="Times New Roman" w:hAnsi="Times New Roman"/>
          <w:b w:val="false"/>
          <w:i/>
          <w:color w:val="000000"/>
          <w:sz w:val="24"/>
        </w:rPr>
        <w:t xml:space="preserve">Reports. </w:t>
      </w:r>
      <w:r>
        <w:rPr>
          <w:rFonts w:ascii="Times New Roman" w:hAnsi="Times New Roman"/>
          <w:b w:val="false"/>
          <w:i w:val="false"/>
          <w:color w:val="000000"/>
          <w:sz w:val="24"/>
        </w:rPr>
        <w:t>Qualifying investors shall submit any information reasonably requested by the authority in sufficient detail to permit the authority to prepare any reports required by the authority, the board, the general assembly, or the governor’s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65.4(7)</w:t>
      </w:r>
      <w:r>
        <w:rPr>
          <w:rFonts w:ascii="Times New Roman" w:hAnsi="Times New Roman"/>
          <w:b w:val="false"/>
          <w:i w:val="false"/>
          <w:color w:val="000000"/>
          <w:sz w:val="24"/>
        </w:rPr>
        <w:t> </w:t>
      </w:r>
      <w:r>
        <w:rPr>
          <w:rFonts w:ascii="Times New Roman" w:hAnsi="Times New Roman"/>
          <w:b w:val="false"/>
          <w:i/>
          <w:color w:val="000000"/>
          <w:sz w:val="24"/>
        </w:rPr>
        <w:t xml:space="preserve">Project completion. </w:t>
      </w:r>
      <w:r>
        <w:rPr>
          <w:rFonts w:ascii="Times New Roman" w:hAnsi="Times New Roman"/>
          <w:b w:val="false"/>
          <w:i w:val="false"/>
          <w:color w:val="000000"/>
          <w:sz w:val="24"/>
        </w:rPr>
        <w:t xml:space="preserve">The project completion deadline may be extended pursuant to Iowa Code section </w:t>
      </w:r>
      <w:hyperlink r:id="rId26">
        <w:r>
          <w:rPr>
            <w:rStyle w:val="Hyperlink"/>
            <w:rFonts w:ascii="Times New Roman" w:hAnsi="Times New Roman"/>
            <w:b w:val="false"/>
            <w:i w:val="false"/>
            <w:color w:val="000000"/>
            <w:sz w:val="24"/>
          </w:rPr>
          <w:t>15.293B(4)</w:t>
        </w:r>
      </w:hyperlink>
      <w:r>
        <w:rPr>
          <w:rFonts w:ascii="Times New Roman" w:hAnsi="Times New Roman"/>
          <w:b w:val="false"/>
          <w:i w:val="false"/>
          <w:color w:val="000000"/>
          <w:sz w:val="24"/>
        </w:rPr>
        <w:t>. The authority may for good cause within the discretion of the authority extend a qualifying investor’s completion deadline by up to 12 months upon application by the qualifying investor, which application shall be made prior to the expiration of the completion deadline in the manner and form prescribed by the authority. The authority may approve a second extension of up to 12 months if, prior to the expiration of the first 12-month extension, the qualifying investor applies and substantiates to the satisfaction of the authority that the second extension is warranted due to extenuating circumstances outside the control of qualifying investor.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65.4(8)</w:t>
      </w:r>
      <w:r>
        <w:rPr>
          <w:rFonts w:ascii="Times New Roman" w:hAnsi="Times New Roman"/>
          <w:b w:val="false"/>
          <w:i w:val="false"/>
          <w:color w:val="000000"/>
          <w:sz w:val="24"/>
        </w:rPr>
        <w:t> </w:t>
      </w:r>
      <w:r>
        <w:rPr>
          <w:rFonts w:ascii="Times New Roman" w:hAnsi="Times New Roman"/>
          <w:b w:val="false"/>
          <w:i/>
          <w:color w:val="000000"/>
          <w:sz w:val="24"/>
        </w:rPr>
        <w:t xml:space="preserve">Certified public accountant (CPA) examination. </w:t>
      </w:r>
      <w:r>
        <w:rPr>
          <w:rFonts w:ascii="Times New Roman" w:hAnsi="Times New Roman"/>
          <w:b w:val="false"/>
          <w:i w:val="false"/>
          <w:color w:val="000000"/>
          <w:sz w:val="24"/>
        </w:rPr>
        <w:t xml:space="preserve">The attestation applicable to the examination required pursuant to Iowa Code section </w:t>
      </w:r>
      <w:hyperlink r:id="rId27">
        <w:r>
          <w:rPr>
            <w:rStyle w:val="Hyperlink"/>
            <w:rFonts w:ascii="Times New Roman" w:hAnsi="Times New Roman"/>
            <w:b w:val="false"/>
            <w:i w:val="false"/>
            <w:color w:val="000000"/>
            <w:sz w:val="24"/>
          </w:rPr>
          <w:t>15.293B(5)</w:t>
        </w:r>
      </w:hyperlink>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2025 Iowa Acts, House File 975</w:t>
      </w:r>
      <w:r>
        <w:rPr>
          <w:rFonts w:ascii="Times New Roman" w:hAnsi="Times New Roman"/>
          <w:b w:val="false"/>
          <w:i w:val="false"/>
          <w:color w:val="000000"/>
          <w:sz w:val="24"/>
        </w:rPr>
        <w:t xml:space="preserve">, is SSAE No. 10 (as amended by SSAE Nos. 11, 12, 14), AT section 101 and AT section 601 or other comparable attestations identified by the authority. The procedures used by the CPA to conduct the examination should allow the CPA to conclude that, in the CPA’s professional judgment, the expenditures claimed are eligible pursuant to the agreement; Iowa Code chapter </w:t>
      </w:r>
      <w:hyperlink r:id="rId28">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xml:space="preserve">, subchapter II, part 9; and all rules adopted pursuant to Iowa Code chapter </w:t>
      </w:r>
      <w:hyperlink r:id="rId29">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subchapter II, part 9, in all material respects. Within ten business days of a request by the authority, the qualifying investor shall make available to the authority the documents reviewed by the CPA unless good cause is shown.</w:t>
      </w:r>
    </w:p>
    <w:p>
      <w:pPr>
        <w:spacing w:before="0" w:after="0" w:line="480"/>
        <w:ind w:left="120"/>
        <w:jc w:val="both"/>
      </w:pPr>
      <w:r>
        <w:rPr>
          <w:rFonts w:ascii="Times New Roman" w:hAnsi="Times New Roman"/>
          <w:b/>
          <w:i w:val="false"/>
          <w:color w:val="000000"/>
          <w:sz w:val="24"/>
        </w:rPr>
        <w:t>261—65.5</w:t>
      </w:r>
      <w:r>
        <w:rPr>
          <w:rFonts w:ascii="Times New Roman" w:hAnsi="Times New Roman"/>
          <w:b/>
          <w:i w:val="false"/>
          <w:color w:val="000000"/>
          <w:sz w:val="24"/>
        </w:rPr>
        <w:t xml:space="preserve">(15) </w:t>
      </w:r>
      <w:r>
        <w:rPr>
          <w:rFonts w:ascii="Times New Roman" w:hAnsi="Times New Roman"/>
          <w:b/>
          <w:i w:val="false"/>
          <w:color w:val="000000"/>
          <w:sz w:val="24"/>
        </w:rPr>
        <w:t xml:space="preserve">Redevelopment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65.5(1)</w:t>
      </w:r>
      <w:r>
        <w:rPr>
          <w:rFonts w:ascii="Times New Roman" w:hAnsi="Times New Roman"/>
          <w:b w:val="false"/>
          <w:i w:val="false"/>
          <w:color w:val="000000"/>
          <w:sz w:val="24"/>
        </w:rPr>
        <w:t> </w:t>
      </w:r>
      <w:r>
        <w:rPr>
          <w:rFonts w:ascii="Times New Roman" w:hAnsi="Times New Roman"/>
          <w:b w:val="false"/>
          <w:i/>
          <w:color w:val="000000"/>
          <w:sz w:val="24"/>
        </w:rPr>
        <w:t xml:space="preserve">Tax credit certificate.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Issuance. </w:t>
      </w:r>
      <w:r>
        <w:rPr>
          <w:rFonts w:ascii="Times New Roman" w:hAnsi="Times New Roman"/>
          <w:b w:val="false"/>
          <w:i w:val="false"/>
          <w:color w:val="000000"/>
          <w:sz w:val="24"/>
        </w:rPr>
        <w:t xml:space="preserve">The authority may issue a redevelopment tax credit certificate upon completion of the project and submittal of proof of completion by the qualifying investor, including the CPA attestation required pursuant to Iowa Code section </w:t>
      </w:r>
      <w:hyperlink r:id="rId30">
        <w:r>
          <w:rPr>
            <w:rStyle w:val="Hyperlink"/>
            <w:rFonts w:ascii="Times New Roman" w:hAnsi="Times New Roman"/>
            <w:b w:val="false"/>
            <w:i w:val="false"/>
            <w:color w:val="000000"/>
            <w:sz w:val="24"/>
          </w:rPr>
          <w:t>15.293B(5)</w:t>
        </w:r>
      </w:hyperlink>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2025 Iowa Acts, House File 975</w:t>
      </w:r>
      <w:r>
        <w:rPr>
          <w:rFonts w:ascii="Times New Roman" w:hAnsi="Times New Roman"/>
          <w:b w:val="false"/>
          <w:i w:val="false"/>
          <w:color w:val="000000"/>
          <w:sz w:val="24"/>
        </w:rPr>
        <w:t xml:space="preserve">, and as described in subrule </w:t>
      </w:r>
      <w:hyperlink r:id="rId31">
        <w:r>
          <w:rPr>
            <w:rStyle w:val="Hyperlink"/>
            <w:rFonts w:ascii="Times New Roman" w:hAnsi="Times New Roman"/>
            <w:b w:val="false"/>
            <w:i w:val="false"/>
            <w:color w:val="000000"/>
            <w:sz w:val="24"/>
          </w:rPr>
          <w:t>65.4(8)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Claims. </w:t>
      </w:r>
      <w:r>
        <w:rPr>
          <w:rFonts w:ascii="Times New Roman" w:hAnsi="Times New Roman"/>
          <w:b w:val="false"/>
          <w:i w:val="false"/>
          <w:color w:val="000000"/>
          <w:sz w:val="24"/>
        </w:rPr>
        <w:t>To claim a tax credit under this rule, a qualifying investor shall file a claim with the department of revenue pursuant to the applicable rules adopted by the department of revenue. A tax credit certificate shall not be used or included with a return filed for a taxable year beginning prior to the tax year listed on the certificate. The tax credit certificate(s) included with the qualifying investor’s tax return shall be issued in the qualifying investor’s name, expire on or after the last day of the taxable year for which the qualifying investor is claiming the tax credit, and show a tax credit amount equal to or greater than the tax credit claimed on the qualifying investor’s tax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Transfer. </w:t>
      </w:r>
      <w:r>
        <w:rPr>
          <w:rFonts w:ascii="Times New Roman" w:hAnsi="Times New Roman"/>
          <w:b w:val="false"/>
          <w:i w:val="false"/>
          <w:color w:val="000000"/>
          <w:sz w:val="24"/>
        </w:rPr>
        <w:t xml:space="preserve">Tax credit certificates issued under this rule may be transferred to any person or entity to the extent allowed by Iowa Code section </w:t>
      </w:r>
      <w:hyperlink r:id="rId32">
        <w:r>
          <w:rPr>
            <w:rStyle w:val="Hyperlink"/>
            <w:rFonts w:ascii="Times New Roman" w:hAnsi="Times New Roman"/>
            <w:b w:val="false"/>
            <w:i w:val="false"/>
            <w:color w:val="000000"/>
            <w:sz w:val="24"/>
          </w:rPr>
          <w:t>15.293A(2)</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any applicable rules adopted by the department of revenue.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65.5(2)</w:t>
      </w:r>
      <w:r>
        <w:rPr>
          <w:rFonts w:ascii="Times New Roman" w:hAnsi="Times New Roman"/>
          <w:b w:val="false"/>
          <w:i w:val="false"/>
          <w:color w:val="000000"/>
          <w:sz w:val="24"/>
        </w:rPr>
        <w:t> </w:t>
      </w:r>
      <w:r>
        <w:rPr>
          <w:rFonts w:ascii="Times New Roman" w:hAnsi="Times New Roman"/>
          <w:b w:val="false"/>
          <w:i/>
          <w:color w:val="000000"/>
          <w:sz w:val="24"/>
        </w:rPr>
        <w:t xml:space="preserve">Tax credit amount and limitations.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amount of the tax credit shall equal the applicable percentage of the qualifying investor’s qualifying investment specified in Iowa Code section </w:t>
      </w:r>
      <w:hyperlink r:id="rId33">
        <w:r>
          <w:rPr>
            <w:rStyle w:val="Hyperlink"/>
            <w:rFonts w:ascii="Times New Roman" w:hAnsi="Times New Roman"/>
            <w:b w:val="false"/>
            <w:i w:val="false"/>
            <w:color w:val="000000"/>
            <w:sz w:val="24"/>
          </w:rPr>
          <w:t>15.293A(3)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maximum amount of tax credits the board may award in any one fiscal year is specified in Iowa Code section </w:t>
      </w:r>
      <w:hyperlink r:id="rId34">
        <w:r>
          <w:rPr>
            <w:rStyle w:val="Hyperlink"/>
            <w:rFonts w:ascii="Times New Roman" w:hAnsi="Times New Roman"/>
            <w:b w:val="false"/>
            <w:i w:val="false"/>
            <w:color w:val="000000"/>
            <w:sz w:val="24"/>
          </w:rPr>
          <w:t>15.293A(6)</w:t>
        </w:r>
      </w:hyperlink>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65.5(3)</w:t>
      </w:r>
      <w:r>
        <w:rPr>
          <w:rFonts w:ascii="Times New Roman" w:hAnsi="Times New Roman"/>
          <w:b w:val="false"/>
          <w:i w:val="false"/>
          <w:color w:val="000000"/>
          <w:sz w:val="24"/>
        </w:rPr>
        <w:t> </w:t>
      </w:r>
      <w:r>
        <w:rPr>
          <w:rFonts w:ascii="Times New Roman" w:hAnsi="Times New Roman"/>
          <w:b w:val="false"/>
          <w:i/>
          <w:color w:val="000000"/>
          <w:sz w:val="24"/>
        </w:rPr>
        <w:t xml:space="preserve">Tax credit carryover. </w:t>
      </w:r>
      <w:r>
        <w:rPr>
          <w:rFonts w:ascii="Times New Roman" w:hAnsi="Times New Roman"/>
          <w:b w:val="false"/>
          <w:i w:val="false"/>
          <w:color w:val="000000"/>
          <w:sz w:val="24"/>
        </w:rPr>
        <w:t>If the maximum amount of tax credits available has not been issued at the end of the fiscal year, the remaining tax credit amount may be carried over to a subsequent fiscal year or the authority may prorate the remaining credit amount among other eligible applicants.</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35">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xml:space="preserve">, subchapter II, part 9 as amended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and House File 975.</w:t>
      </w:r>
    </w:p>
    <w:p>
      <w:pPr>
        <w:spacing w:before="0" w:after="0" w:line="480"/>
        <w:ind w:left="120"/>
        <w:jc w:val="left"/>
      </w:pPr>
      <w:bookmarkStart w:name="lastARC" w:id="2"/>
      <w:bookmarkEnd w:id="2"/>
    </w:p>
    <w:sectPr>
      <w:footerReference r:id="rId3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15.105.pdf" Type="http://schemas.openxmlformats.org/officeDocument/2006/relationships/hyperlink" Id="rId8"/>
    <Relationship TargetMode="External" Target="https://www.legis.iowa.gov/docs/ico/chapter/15.102.pdf" Type="http://schemas.openxmlformats.org/officeDocument/2006/relationships/hyperlink" Id="rId9"/>
    <Relationship TargetMode="External" Target="https://www.legis.iowa.gov/docs/ico/chapter/15.291.pdf" Type="http://schemas.openxmlformats.org/officeDocument/2006/relationships/hyperlink" Id="rId10"/>
    <Relationship TargetMode="External" Target="https://www.legis.iowa.gov/docs/ico/chapter/15.291.pdf" Type="http://schemas.openxmlformats.org/officeDocument/2006/relationships/hyperlink" Id="rId11"/>
    <Relationship TargetMode="External" Target="https://www.legis.iowa.gov/docs/iac/rule/261.65.2.pdf" Type="http://schemas.openxmlformats.org/officeDocument/2006/relationships/hyperlink" Id="rId12"/>
    <Relationship TargetMode="External" Target="https://www.legis.iowa.gov/docs/ico/chapter/15.pdf" Type="http://schemas.openxmlformats.org/officeDocument/2006/relationships/hyperlink" Id="rId13"/>
    <Relationship TargetMode="External" Target="https://www.legis.iowa.gov/docs/ico/chapter/15.291.pdf" Type="http://schemas.openxmlformats.org/officeDocument/2006/relationships/hyperlink" Id="rId14"/>
    <Relationship TargetMode="External" Target="https://www.legis.iowa.gov/docs/ico/chapter/15.291.pdf" Type="http://schemas.openxmlformats.org/officeDocument/2006/relationships/hyperlink" Id="rId15"/>
    <Relationship TargetMode="External" Target="https://www.legis.iowa.gov/docs/ico/chapter/403.2.pdf" Type="http://schemas.openxmlformats.org/officeDocument/2006/relationships/hyperlink" Id="rId16"/>
    <Relationship TargetMode="External" Target="https://www.legis.iowa.gov/docs/ico/chapter/15.pdf" Type="http://schemas.openxmlformats.org/officeDocument/2006/relationships/hyperlink" Id="rId17"/>
    <Relationship TargetMode="External" Target="https://www.legis.iowa.gov/docs/iac/chapter/567.135.pdf" Type="http://schemas.openxmlformats.org/officeDocument/2006/relationships/hyperlink" Id="rId18"/>
    <Relationship TargetMode="External" Target="https://www.legis.iowa.gov/docs/ico/chapter/15.293B.pdf" Type="http://schemas.openxmlformats.org/officeDocument/2006/relationships/hyperlink" Id="rId19"/>
    <Relationship TargetMode="External" Target="https://www.legis.iowa.gov/docs/ico/chapter/15.293B.pdf" Type="http://schemas.openxmlformats.org/officeDocument/2006/relationships/hyperlink" Id="rId20"/>
    <Relationship TargetMode="External" Target="https://www.legis.iowa.gov/docs/ico/chapter/15.293B.pdf" Type="http://schemas.openxmlformats.org/officeDocument/2006/relationships/hyperlink" Id="rId21"/>
    <Relationship TargetMode="External" Target="https://www.legis.iowa.gov/docs/ico/chapter/15.293B.pdf" Type="http://schemas.openxmlformats.org/officeDocument/2006/relationships/hyperlink" Id="rId22"/>
    <Relationship TargetMode="External" Target="https://www.legis.iowa.gov/docs/ico/chapter/15.pdf" Type="http://schemas.openxmlformats.org/officeDocument/2006/relationships/hyperlink" Id="rId23"/>
    <Relationship TargetMode="External" Target="https://www.legis.iowa.gov/docs/iac/rule/261.65.4.pdf" Type="http://schemas.openxmlformats.org/officeDocument/2006/relationships/hyperlink" Id="rId24"/>
    <Relationship TargetMode="External" Target="https://www.legis.iowa.gov/docs/ico/chapter/15.293B.pdf" Type="http://schemas.openxmlformats.org/officeDocument/2006/relationships/hyperlink" Id="rId25"/>
    <Relationship TargetMode="External" Target="https://www.legis.iowa.gov/docs/ico/chapter/15.293B.pdf" Type="http://schemas.openxmlformats.org/officeDocument/2006/relationships/hyperlink" Id="rId26"/>
    <Relationship TargetMode="External" Target="https://www.legis.iowa.gov/docs/ico/chapter/15.293B.pdf" Type="http://schemas.openxmlformats.org/officeDocument/2006/relationships/hyperlink" Id="rId27"/>
    <Relationship TargetMode="External" Target="https://www.legis.iowa.gov/docs/ico/chapter/15.pdf" Type="http://schemas.openxmlformats.org/officeDocument/2006/relationships/hyperlink" Id="rId28"/>
    <Relationship TargetMode="External" Target="https://www.legis.iowa.gov/docs/ico/chapter/15.pdf" Type="http://schemas.openxmlformats.org/officeDocument/2006/relationships/hyperlink" Id="rId29"/>
    <Relationship TargetMode="External" Target="https://www.legis.iowa.gov/docs/ico/chapter/15.293B.pdf" Type="http://schemas.openxmlformats.org/officeDocument/2006/relationships/hyperlink" Id="rId30"/>
    <Relationship TargetMode="External" Target="https://www.legis.iowa.gov/docs/iac/rule/261.65.4.pdf" Type="http://schemas.openxmlformats.org/officeDocument/2006/relationships/hyperlink" Id="rId31"/>
    <Relationship TargetMode="External" Target="https://www.legis.iowa.gov/docs/ico/chapter/15.293A.pdf" Type="http://schemas.openxmlformats.org/officeDocument/2006/relationships/hyperlink" Id="rId32"/>
    <Relationship TargetMode="External" Target="https://www.legis.iowa.gov/docs/ico/chapter/15.293A.pdf" Type="http://schemas.openxmlformats.org/officeDocument/2006/relationships/hyperlink" Id="rId33"/>
    <Relationship TargetMode="External" Target="https://www.legis.iowa.gov/docs/ico/chapter/15.293A.pdf" Type="http://schemas.openxmlformats.org/officeDocument/2006/relationships/hyperlink" Id="rId34"/>
    <Relationship TargetMode="External" Target="https://www.legis.iowa.gov/docs/ico/chapter/15.pdf" Type="http://schemas.openxmlformats.org/officeDocument/2006/relationships/hyperlink" Id="rId35"/>
    <Relationship Target="footer.xml" Type="http://schemas.openxmlformats.org/officeDocument/2006/relationships/footer"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