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30C" w:id="1"/>
    <w:p>
      <w:pPr>
        <w:spacing w:before="0" w:after="0" w:line="480"/>
        <w:ind w:left="120"/>
        <w:jc w:val="right"/>
      </w:pPr>
      <w:r>
        <w:rPr>
          <w:rFonts w:ascii="Times New Roman" w:hAnsi="Times New Roman"/>
          <w:b/>
          <w:i w:val="false"/>
          <w:color w:val="000000"/>
          <w:sz w:val="28"/>
        </w:rPr>
        <w:t>ARC 9830C</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workforce housing tax incentives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hereby proposes to rescind Chapter 48, “Workforce Housing Tax Incentives Program,” Iowa Administrative Code and to adopt a new Chapter 48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48 and adopt a new chapter in lieu thereof. The chapter describes the policies and procedures applicable to the Workforce Housing Tax Incentive Program available pursuant to Iowa Code chapter 15, subchapter II, part 17, as amended by 2025 Iowa Acts, Senate File 657. The program supports the development of housing projects that are targeted at middle-income households.</w:t>
      </w:r>
    </w:p>
    <w:p>
      <w:pPr>
        <w:spacing w:before="0" w:after="0" w:line="480"/>
        <w:ind w:left="120"/>
        <w:jc w:val="both"/>
      </w:pPr>
      <w:r>
        <w:rPr>
          <w:rFonts w:ascii="Times New Roman" w:hAnsi="Times New Roman"/>
          <w:b w:val="false"/>
          <w:i w:val="false"/>
          <w:color w:val="000000"/>
          <w:sz w:val="24"/>
        </w:rPr>
        <w:t>    The new chapter is clearer and more concise throughout and omits language that duplicates statute. Additionally, the new chapter omits inconsistencies due to changes to the program and its available allocation of tax credits in 2025 Iowa Acts, Senate File 657.</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1,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October 21,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261—Chapter 199.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January 15,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45"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Lisa Connell </w:t>
            </w:r>
            <w:r>
              <w:br/>
            </w:r>
            <w:r>
              <w:rPr>
                <w:rFonts w:ascii="Times New Roman" w:hAnsi="Times New Roman"/>
                <w:b w:val="false"/>
                <w:i w:val="false"/>
                <w:color w:val="000000"/>
                <w:sz w:val="18"/>
              </w:rPr>
              <w:t xml:space="preserve">Iowa Economic Development Authority </w:t>
            </w:r>
            <w:r>
              <w:br/>
            </w:r>
            <w:r>
              <w:rPr>
                <w:rFonts w:ascii="Times New Roman" w:hAnsi="Times New Roman"/>
                <w:b w:val="false"/>
                <w:i w:val="false"/>
                <w:color w:val="000000"/>
                <w:sz w:val="18"/>
              </w:rPr>
              <w:t>1963 Bell Avenue, Suite 200</w:t>
            </w:r>
            <w:r>
              <w:br/>
            </w:r>
            <w:r>
              <w:rPr>
                <w:rFonts w:ascii="Times New Roman" w:hAnsi="Times New Roman"/>
                <w:b w:val="false"/>
                <w:i w:val="false"/>
                <w:color w:val="000000"/>
                <w:sz w:val="18"/>
              </w:rPr>
              <w:t xml:space="preserve">Des Moines, Iowa 50315 </w:t>
            </w:r>
            <w:r>
              <w:br/>
            </w:r>
            <w:r>
              <w:rPr>
                <w:rFonts w:ascii="Times New Roman" w:hAnsi="Times New Roman"/>
                <w:b w:val="false"/>
                <w:i w:val="false"/>
                <w:color w:val="000000"/>
                <w:sz w:val="18"/>
              </w:rPr>
              <w:t xml:space="preserve">Phone: 515.348.6163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1488"/>
        <w:gridCol w:w="9702"/>
      </w:tblGrid>
      <w:tr>
        <w:trPr>
          <w:trHeight w:val="1950" w:hRule="atLeast"/>
        </w:trPr>
        <w:tc>
          <w:tcPr>
            <w:tcW w:w="148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9:30 to 9:45 a.m. </w:t>
            </w:r>
          </w:p>
        </w:tc>
        <w:tc>
          <w:tcPr>
            <w:tcW w:w="970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Via Microsoft Teams</w:t>
            </w:r>
            <w:r>
              <w:br/>
            </w:r>
            <w:r>
              <w:rPr>
                <w:rFonts w:ascii="Times New Roman" w:hAnsi="Times New Roman"/>
                <w:b w:val="false"/>
                <w:i w:val="false"/>
                <w:color w:val="000000"/>
                <w:sz w:val="18"/>
              </w:rPr>
              <w:t xml:space="preserve"> Information about Teams participation can be found at</w:t>
            </w:r>
            <w:r>
              <w:br/>
            </w:r>
            <w:r>
              <w:rPr>
                <w:rFonts w:ascii="Times New Roman" w:hAnsi="Times New Roman"/>
                <w:b w:val="false"/>
                <w:i w:val="false"/>
                <w:color w:val="000000"/>
                <w:sz w:val="18"/>
              </w:rPr>
              <w:t xml:space="preserve"> </w:t>
            </w:r>
            <w:hyperlink r:id="rId5">
              <w:r>
                <w:rPr>
                  <w:rStyle w:val="Hyperlink"/>
                  <w:rFonts w:ascii="Times New Roman" w:hAnsi="Times New Roman"/>
                  <w:b w:val="false"/>
                  <w:i w:val="false"/>
                  <w:color w:val="0000ff"/>
                  <w:sz w:val="24"/>
                </w:rPr>
                <w:t>opportunityiowa.gov/about/iowa-economic-development-authority/ieda-red-tape-review</w:t>
              </w:r>
            </w:hyperlink>
            <w:r>
              <w:br/>
            </w:r>
          </w:p>
        </w:tc>
      </w:tr>
      <w:tr>
        <w:trPr>
          <w:trHeight w:val="1950" w:hRule="atLeast"/>
        </w:trPr>
        <w:tc>
          <w:tcPr>
            <w:tcW w:w="148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15, 2026</w:t>
            </w:r>
            <w:r>
              <w:br/>
            </w:r>
            <w:r>
              <w:rPr>
                <w:rFonts w:ascii="Times New Roman" w:hAnsi="Times New Roman"/>
                <w:b w:val="false"/>
                <w:i w:val="false"/>
                <w:color w:val="000000"/>
                <w:sz w:val="18"/>
              </w:rPr>
              <w:t xml:space="preserve"> 9:30 to 9:45 a.m. </w:t>
            </w:r>
          </w:p>
        </w:tc>
        <w:tc>
          <w:tcPr>
            <w:tcW w:w="970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Via Microsoft Teams</w:t>
            </w:r>
            <w:r>
              <w:br/>
            </w:r>
            <w:r>
              <w:rPr>
                <w:rFonts w:ascii="Times New Roman" w:hAnsi="Times New Roman"/>
                <w:b w:val="false"/>
                <w:i w:val="false"/>
                <w:color w:val="000000"/>
                <w:sz w:val="18"/>
              </w:rPr>
              <w:t xml:space="preserve"> Information about Teams participation can be found at</w:t>
            </w:r>
            <w:r>
              <w:br/>
            </w:r>
            <w:r>
              <w:rPr>
                <w:rFonts w:ascii="Times New Roman" w:hAnsi="Times New Roman"/>
                <w:b w:val="false"/>
                <w:i w:val="false"/>
                <w:color w:val="000000"/>
                <w:sz w:val="18"/>
              </w:rPr>
              <w:t xml:space="preserve"> </w:t>
            </w:r>
            <w:hyperlink r:id="rId6">
              <w:r>
                <w:rPr>
                  <w:rStyle w:val="Hyperlink"/>
                  <w:rFonts w:ascii="Times New Roman" w:hAnsi="Times New Roman"/>
                  <w:b w:val="false"/>
                  <w:i w:val="false"/>
                  <w:color w:val="0000ff"/>
                  <w:sz w:val="2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48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48</w:t>
      </w:r>
    </w:p>
    <w:p>
      <w:pPr>
        <w:spacing w:before="0" w:after="0" w:line="480"/>
        <w:ind w:left="120"/>
        <w:jc w:val="center"/>
      </w:pPr>
      <w:r>
        <w:rPr>
          <w:rFonts w:ascii="Times New Roman" w:hAnsi="Times New Roman"/>
          <w:b w:val="false"/>
          <w:i w:val="false"/>
          <w:color w:val="000000"/>
          <w:sz w:val="21"/>
        </w:rPr>
        <w:t>WORKFORCE HOUSING TAX INCENTIVES PROGRAM</w:t>
      </w:r>
    </w:p>
    <w:p>
      <w:pPr>
        <w:spacing w:before="0" w:after="0" w:line="480"/>
        <w:ind w:left="120"/>
        <w:jc w:val="both"/>
      </w:pPr>
      <w:r>
        <w:rPr>
          <w:rFonts w:ascii="Times New Roman" w:hAnsi="Times New Roman"/>
          <w:b/>
          <w:i w:val="false"/>
          <w:color w:val="000000"/>
          <w:sz w:val="24"/>
        </w:rPr>
        <w:t>261—48.1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 xml:space="preserve">means the economic development authority created in Iowa Code section </w:t>
      </w:r>
      <w:hyperlink r:id="rId8">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“Authority’s website” </w:t>
      </w:r>
      <w:r>
        <w:rPr>
          <w:rFonts w:ascii="Times New Roman" w:hAnsi="Times New Roman"/>
          <w:b w:val="false"/>
          <w:i w:val="false"/>
          <w:color w:val="000000"/>
          <w:sz w:val="24"/>
        </w:rPr>
        <w:t>means the information and related content found at www.opportunityiowa.gov.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“Average dwelling unit cost” </w:t>
      </w:r>
      <w:r>
        <w:rPr>
          <w:rFonts w:ascii="Times New Roman" w:hAnsi="Times New Roman"/>
          <w:b w:val="false"/>
          <w:i w:val="false"/>
          <w:color w:val="000000"/>
          <w:sz w:val="24"/>
        </w:rPr>
        <w:t>means the costs directly related to the housing project divided by the total number of dwelling units in the housing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“Board”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15.102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“Costs directly related” </w:t>
      </w:r>
      <w:r>
        <w:rPr>
          <w:rFonts w:ascii="Times New Roman" w:hAnsi="Times New Roman"/>
          <w:b w:val="false"/>
          <w:i w:val="false"/>
          <w:color w:val="000000"/>
          <w:sz w:val="24"/>
        </w:rPr>
        <w:t>means expenditures that are incurred for construction of a housing project to the extent that they are attributable directly to the improvement of the property or its structures. “Costs directly related” includes expenditures for site preparation work, surveying, construction materials, construction labor, architectural services, and engineering services. “Costs directly related” does not include expenditures for property acquisition, building permits, building inspection fees, furnishings, appliances, accounting services, legal services, loan origination and other financing costs including interest on construction loans, syndication fees and related costs, developer fees, or the costs associated with selling or renting the dwelling units whether incurred before or after completion of the housing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“Disaster recovery housing project”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15.354(6)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“Grayfield site”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15.352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“Greenfield site”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15.352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“Housing business” </w:t>
      </w:r>
      <w:r>
        <w:rPr>
          <w:rFonts w:ascii="Times New Roman" w:hAnsi="Times New Roman"/>
          <w:b w:val="false"/>
          <w:i w:val="false"/>
          <w:color w:val="000000"/>
          <w:sz w:val="24"/>
        </w:rPr>
        <w:t xml:space="preserve">means the same as defined in Iowa Code section </w:t>
      </w:r>
      <w:hyperlink r:id="rId13">
        <w:r>
          <w:rPr>
            <w:rStyle w:val="Hyperlink"/>
            <w:rFonts w:ascii="Times New Roman" w:hAnsi="Times New Roman"/>
            <w:b w:val="false"/>
            <w:i w:val="false"/>
            <w:color w:val="000000"/>
            <w:sz w:val="24"/>
          </w:rPr>
          <w:t>15.352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“Housing project”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15.352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“New dwelling units” </w:t>
      </w:r>
      <w:r>
        <w:rPr>
          <w:rFonts w:ascii="Times New Roman" w:hAnsi="Times New Roman"/>
          <w:b w:val="false"/>
          <w:i w:val="false"/>
          <w:color w:val="000000"/>
          <w:sz w:val="24"/>
        </w:rPr>
        <w:t>means dwelling units that are made available for occupancy in a community as a result of a housing project and that were not available for occupancy as residential housing in the community for a period of at least six months prior to the date on which application is made to the authority for tax incentives. If a dwelling unit has served as residential housing and been occupied during the six months preceding the date on which application is made to the authority for tax incentives, then the dwelling unit shall be presumed not to be a new dwelling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“Program” </w:t>
      </w:r>
      <w:r>
        <w:rPr>
          <w:rFonts w:ascii="Times New Roman" w:hAnsi="Times New Roman"/>
          <w:b w:val="false"/>
          <w:i w:val="false"/>
          <w:color w:val="000000"/>
          <w:sz w:val="24"/>
        </w:rPr>
        <w:t xml:space="preserve">means the workforce housing tax incentives program administered pursuant to Iowa Code chapter </w:t>
      </w:r>
      <w:hyperlink r:id="rId15">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subchapter II, part 17, and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“Tax credit certificate” </w:t>
      </w:r>
      <w:r>
        <w:rPr>
          <w:rFonts w:ascii="Times New Roman" w:hAnsi="Times New Roman"/>
          <w:b w:val="false"/>
          <w:i w:val="false"/>
          <w:color w:val="000000"/>
          <w:sz w:val="24"/>
        </w:rPr>
        <w:t xml:space="preserve">means a certificate issued by the authority stating the amount of workforce housing investment tax credits pursuant to Iowa Code section </w:t>
      </w:r>
      <w:hyperlink r:id="rId16">
        <w:r>
          <w:rPr>
            <w:rStyle w:val="Hyperlink"/>
            <w:rFonts w:ascii="Times New Roman" w:hAnsi="Times New Roman"/>
            <w:b w:val="false"/>
            <w:i w:val="false"/>
            <w:color w:val="000000"/>
            <w:sz w:val="24"/>
          </w:rPr>
          <w:t>15.355(3)</w:t>
        </w:r>
      </w:hyperlink>
      <w:r>
        <w:rPr>
          <w:rFonts w:ascii="Times New Roman" w:hAnsi="Times New Roman"/>
          <w:b w:val="false"/>
          <w:i w:val="false"/>
          <w:color w:val="000000"/>
          <w:sz w:val="24"/>
        </w:rPr>
        <w:t xml:space="preserve"> that an eligible housing business may claim.</w:t>
      </w:r>
    </w:p>
    <w:p>
      <w:pPr>
        <w:spacing w:before="0" w:after="0" w:line="480"/>
        <w:ind w:left="120"/>
        <w:jc w:val="both"/>
      </w:pPr>
      <w:r>
        <w:rPr>
          <w:rFonts w:ascii="Times New Roman" w:hAnsi="Times New Roman"/>
          <w:b/>
          <w:i w:val="false"/>
          <w:color w:val="000000"/>
          <w:sz w:val="24"/>
        </w:rPr>
        <w:t>261—48.2</w:t>
      </w:r>
      <w:r>
        <w:rPr>
          <w:rFonts w:ascii="Times New Roman" w:hAnsi="Times New Roman"/>
          <w:b/>
          <w:i w:val="false"/>
          <w:color w:val="000000"/>
          <w:sz w:val="24"/>
        </w:rPr>
        <w:t xml:space="preserve">(15) </w:t>
      </w:r>
      <w:r>
        <w:rPr>
          <w:rFonts w:ascii="Times New Roman" w:hAnsi="Times New Roman"/>
          <w:b/>
          <w:i w:val="false"/>
          <w:color w:val="000000"/>
          <w:sz w:val="24"/>
        </w:rPr>
        <w:t xml:space="preserve">Housing project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48.2(1)</w:t>
      </w:r>
      <w:r>
        <w:rPr>
          <w:rFonts w:ascii="Times New Roman" w:hAnsi="Times New Roman"/>
          <w:b w:val="false"/>
          <w:i w:val="false"/>
          <w:color w:val="000000"/>
          <w:sz w:val="24"/>
        </w:rPr>
        <w:t> </w:t>
      </w:r>
      <w:r>
        <w:rPr>
          <w:rFonts w:ascii="Times New Roman" w:hAnsi="Times New Roman"/>
          <w:b w:val="false"/>
          <w:i/>
          <w:color w:val="000000"/>
          <w:sz w:val="24"/>
        </w:rPr>
        <w:t xml:space="preserve">Eligible project types. </w:t>
      </w:r>
      <w:r>
        <w:rPr>
          <w:rFonts w:ascii="Times New Roman" w:hAnsi="Times New Roman"/>
          <w:b w:val="false"/>
          <w:i w:val="false"/>
          <w:color w:val="000000"/>
          <w:sz w:val="24"/>
        </w:rPr>
        <w:t xml:space="preserve">To receive workforce housing tax incentives pursuant to the program, a proposed housing project shall meet all of the requirements in Iowa Code section </w:t>
      </w:r>
      <w:hyperlink r:id="rId17">
        <w:r>
          <w:rPr>
            <w:rStyle w:val="Hyperlink"/>
            <w:rFonts w:ascii="Times New Roman" w:hAnsi="Times New Roman"/>
            <w:b w:val="false"/>
            <w:i w:val="false"/>
            <w:color w:val="000000"/>
            <w:sz w:val="24"/>
          </w:rPr>
          <w:t>15.353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purposes of identifying eligible project types pursuant to Iowa Code section </w:t>
      </w:r>
      <w:hyperlink r:id="rId18">
        <w:r>
          <w:rPr>
            <w:rStyle w:val="Hyperlink"/>
            <w:rFonts w:ascii="Times New Roman" w:hAnsi="Times New Roman"/>
            <w:b w:val="false"/>
            <w:i w:val="false"/>
            <w:color w:val="000000"/>
            <w:sz w:val="24"/>
          </w:rPr>
          <w:t>15.353</w:t>
        </w:r>
      </w:hyperlink>
      <w:r>
        <w:rPr>
          <w:rFonts w:ascii="Times New Roman" w:hAnsi="Times New Roman"/>
          <w:b w:val="false"/>
          <w:i w:val="false"/>
          <w:color w:val="000000"/>
          <w:sz w:val="24"/>
        </w:rPr>
        <w:t>, “rehabilitation, repair, or redevelopment” means construction or development activities associated with a housing project that are undertaken for the purpose of reusing or repurposing existing buildings or structures as new dwelling units. “Rehabilitation, repair, or redevelopment” does not include new construction of dwelling units at a greenfield site. “Rehabilitation, repair, or redevelopment” includes new structures at a qualified grayfield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purposes of identifying eligible project types pursuant to Iowa Code section </w:t>
      </w:r>
      <w:hyperlink r:id="rId19">
        <w:r>
          <w:rPr>
            <w:rStyle w:val="Hyperlink"/>
            <w:rFonts w:ascii="Times New Roman" w:hAnsi="Times New Roman"/>
            <w:b w:val="false"/>
            <w:i w:val="false"/>
            <w:color w:val="000000"/>
            <w:sz w:val="24"/>
          </w:rPr>
          <w:t>15.353</w:t>
        </w:r>
      </w:hyperlink>
      <w:r>
        <w:rPr>
          <w:rFonts w:ascii="Times New Roman" w:hAnsi="Times New Roman"/>
          <w:b w:val="false"/>
          <w:i w:val="false"/>
          <w:color w:val="000000"/>
          <w:sz w:val="24"/>
        </w:rPr>
        <w:t>, factors the authority may consider to determine whether a dwelling unit should be classified as a single family dwelling unit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Whether the unit is separated from other units by a ground-to-roof wall;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Whether the unit has a separate heating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Whether the unit has an individual meter for public utilities;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Whether the unit has other units above or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housing project is not eligible for the program if it is located in a 100-year floodplain.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48.2(2)</w:t>
      </w:r>
      <w:r>
        <w:rPr>
          <w:rFonts w:ascii="Times New Roman" w:hAnsi="Times New Roman"/>
          <w:b w:val="false"/>
          <w:i w:val="false"/>
          <w:color w:val="000000"/>
          <w:sz w:val="24"/>
        </w:rPr>
        <w:t> </w:t>
      </w:r>
      <w:r>
        <w:rPr>
          <w:rFonts w:ascii="Times New Roman" w:hAnsi="Times New Roman"/>
          <w:b w:val="false"/>
          <w:i/>
          <w:color w:val="000000"/>
          <w:sz w:val="24"/>
        </w:rPr>
        <w:t xml:space="preserve">Maximum cost. </w:t>
      </w:r>
      <w:r>
        <w:rPr>
          <w:rFonts w:ascii="Times New Roman" w:hAnsi="Times New Roman"/>
          <w:b w:val="false"/>
          <w:i w:val="false"/>
          <w:color w:val="000000"/>
          <w:sz w:val="24"/>
        </w:rPr>
        <w:t xml:space="preserve">The average dwelling unit cost for a housing project shall not exceed the maximum amount established by the board pursuant to Iowa Code section </w:t>
      </w:r>
      <w:hyperlink r:id="rId20">
        <w:r>
          <w:rPr>
            <w:rStyle w:val="Hyperlink"/>
            <w:rFonts w:ascii="Times New Roman" w:hAnsi="Times New Roman"/>
            <w:b w:val="false"/>
            <w:i w:val="false"/>
            <w:color w:val="000000"/>
            <w:sz w:val="24"/>
          </w:rPr>
          <w:t>15.353(3)</w:t>
        </w:r>
      </w:hyperlink>
      <w:r>
        <w:rPr>
          <w:rFonts w:ascii="Times New Roman" w:hAnsi="Times New Roman"/>
          <w:b w:val="false"/>
          <w:i/>
          <w:color w:val="000000"/>
          <w:sz w:val="24"/>
        </w:rPr>
        <w:t>“a”</w:t>
      </w:r>
      <w:r>
        <w:rPr>
          <w:rFonts w:ascii="Times New Roman" w:hAnsi="Times New Roman"/>
          <w:b w:val="false"/>
          <w:i w:val="false"/>
          <w:color w:val="000000"/>
          <w:sz w:val="24"/>
        </w:rPr>
        <w:t xml:space="preserve"> or, if applicable, the maximum amount established pursuant to Iowa Code section </w:t>
      </w:r>
      <w:hyperlink r:id="rId21">
        <w:r>
          <w:rPr>
            <w:rStyle w:val="Hyperlink"/>
            <w:rFonts w:ascii="Times New Roman" w:hAnsi="Times New Roman"/>
            <w:b w:val="false"/>
            <w:i w:val="false"/>
            <w:color w:val="000000"/>
            <w:sz w:val="24"/>
          </w:rPr>
          <w:t>15.353(3)</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48.2(3)</w:t>
      </w:r>
      <w:r>
        <w:rPr>
          <w:rFonts w:ascii="Times New Roman" w:hAnsi="Times New Roman"/>
          <w:b w:val="false"/>
          <w:i w:val="false"/>
          <w:color w:val="000000"/>
          <w:sz w:val="24"/>
        </w:rPr>
        <w:t> </w:t>
      </w:r>
      <w:r>
        <w:rPr>
          <w:rFonts w:ascii="Times New Roman" w:hAnsi="Times New Roman"/>
          <w:b w:val="false"/>
          <w:i/>
          <w:color w:val="000000"/>
          <w:sz w:val="24"/>
        </w:rPr>
        <w:t xml:space="preserve">Violations of law. </w:t>
      </w:r>
      <w:r>
        <w:rPr>
          <w:rFonts w:ascii="Times New Roman" w:hAnsi="Times New Roman"/>
          <w:b w:val="false"/>
          <w:i w:val="false"/>
          <w:color w:val="000000"/>
          <w:sz w:val="24"/>
        </w:rPr>
        <w:t xml:space="preserve">A housing project may be ineligible for the program due to a record of violations of the law pursuant to Iowa Code section </w:t>
      </w:r>
      <w:hyperlink r:id="rId22">
        <w:r>
          <w:rPr>
            <w:rStyle w:val="Hyperlink"/>
            <w:rFonts w:ascii="Times New Roman" w:hAnsi="Times New Roman"/>
            <w:b w:val="false"/>
            <w:i w:val="false"/>
            <w:color w:val="000000"/>
            <w:sz w:val="24"/>
          </w:rPr>
          <w:t>15.354(1)</w:t>
        </w:r>
      </w:hyperlink>
      <w:r>
        <w:rPr>
          <w:rFonts w:ascii="Times New Roman" w:hAnsi="Times New Roman"/>
          <w:b w:val="false"/>
          <w:i/>
          <w:color w:val="000000"/>
          <w:sz w:val="24"/>
        </w:rPr>
        <w:t>“b”</w:t>
      </w:r>
      <w:r>
        <w:rPr>
          <w:rFonts w:ascii="Times New Roman" w:hAnsi="Times New Roman"/>
          <w:b w:val="false"/>
          <w:i w:val="false"/>
          <w:color w:val="000000"/>
          <w:sz w:val="24"/>
        </w:rPr>
        <w:t xml:space="preserve">(2) as amended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261—48.3</w:t>
      </w:r>
      <w:r>
        <w:rPr>
          <w:rFonts w:ascii="Times New Roman" w:hAnsi="Times New Roman"/>
          <w:b/>
          <w:i w:val="false"/>
          <w:color w:val="000000"/>
          <w:sz w:val="24"/>
        </w:rPr>
        <w:t xml:space="preserve">(15) </w:t>
      </w:r>
      <w:r>
        <w:rPr>
          <w:rFonts w:ascii="Times New Roman" w:hAnsi="Times New Roman"/>
          <w:b/>
          <w:i w:val="false"/>
          <w:color w:val="000000"/>
          <w:sz w:val="24"/>
        </w:rPr>
        <w:t xml:space="preserve">Housing project application and agreement.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48.3(1)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 xml:space="preserve">Information about applying for tax incentives will be available on the authority’s website. A housing business shall apply for tax incentives in the form and content specified by the authority. The application will include all the information described in described in Iowa Code section </w:t>
      </w:r>
      <w:hyperlink r:id="rId23">
        <w:r>
          <w:rPr>
            <w:rStyle w:val="Hyperlink"/>
            <w:rFonts w:ascii="Times New Roman" w:hAnsi="Times New Roman"/>
            <w:b w:val="false"/>
            <w:i w:val="false"/>
            <w:color w:val="000000"/>
            <w:sz w:val="24"/>
          </w:rPr>
          <w:t>15.354(1)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48.3(2)</w:t>
      </w:r>
      <w:r>
        <w:rPr>
          <w:rFonts w:ascii="Times New Roman" w:hAnsi="Times New Roman"/>
          <w:b w:val="false"/>
          <w:i w:val="false"/>
          <w:color w:val="000000"/>
          <w:sz w:val="24"/>
        </w:rPr>
        <w:t> </w:t>
      </w:r>
      <w:r>
        <w:rPr>
          <w:rFonts w:ascii="Times New Roman" w:hAnsi="Times New Roman"/>
          <w:b w:val="false"/>
          <w:i/>
          <w:color w:val="000000"/>
          <w:sz w:val="24"/>
        </w:rPr>
        <w:t xml:space="preserve">Application review and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completed applications shall be reviewed and scored pursuant to Iowa Code section </w:t>
      </w:r>
      <w:hyperlink r:id="rId24">
        <w:r>
          <w:rPr>
            <w:rStyle w:val="Hyperlink"/>
            <w:rFonts w:ascii="Times New Roman" w:hAnsi="Times New Roman"/>
            <w:b w:val="false"/>
            <w:i w:val="false"/>
            <w:color w:val="000000"/>
            <w:sz w:val="24"/>
          </w:rPr>
          <w:t>15.354(2)</w:t>
        </w:r>
      </w:hyperlink>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Review criteria include but are not limited to project need, project readiness, financial capacity, and project impact.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director will approve tax incentive awards after considering the recommendations of staff. The director may approve, defer or deny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48.3(3)</w:t>
      </w:r>
      <w:r>
        <w:rPr>
          <w:rFonts w:ascii="Times New Roman" w:hAnsi="Times New Roman"/>
          <w:b w:val="false"/>
          <w:i w:val="false"/>
          <w:color w:val="000000"/>
          <w:sz w:val="24"/>
        </w:rPr>
        <w:t> </w:t>
      </w:r>
      <w:r>
        <w:rPr>
          <w:rFonts w:ascii="Times New Roman" w:hAnsi="Times New Roman"/>
          <w:b w:val="false"/>
          <w:i/>
          <w:color w:val="000000"/>
          <w:sz w:val="24"/>
        </w:rPr>
        <w:t xml:space="preserve">Agreement and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housing business that has been approved for tax incentives shall execute and return the agreement required by Iowa Code section </w:t>
      </w:r>
      <w:hyperlink r:id="rId25">
        <w:r>
          <w:rPr>
            <w:rStyle w:val="Hyperlink"/>
            <w:rFonts w:ascii="Times New Roman" w:hAnsi="Times New Roman"/>
            <w:b w:val="false"/>
            <w:i w:val="false"/>
            <w:color w:val="000000"/>
            <w:sz w:val="24"/>
          </w:rPr>
          <w:t>15.354(3)</w:t>
        </w:r>
      </w:hyperlink>
      <w:r>
        <w:rPr>
          <w:rFonts w:ascii="Times New Roman" w:hAnsi="Times New Roman"/>
          <w:b w:val="false"/>
          <w:i w:val="false"/>
          <w:color w:val="000000"/>
          <w:sz w:val="24"/>
        </w:rPr>
        <w:t xml:space="preserve"> within 90 days of transmittal. Failure to do so may be cause for the director to terminate the award.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compliance cost fees imposed in Iowa Code section </w:t>
      </w:r>
      <w:hyperlink r:id="rId26">
        <w:r>
          <w:rPr>
            <w:rStyle w:val="Hyperlink"/>
            <w:rFonts w:ascii="Times New Roman" w:hAnsi="Times New Roman"/>
            <w:b w:val="false"/>
            <w:i w:val="false"/>
            <w:color w:val="000000"/>
            <w:sz w:val="24"/>
          </w:rPr>
          <w:t>15.354(3)</w:t>
        </w:r>
      </w:hyperlink>
      <w:r>
        <w:rPr>
          <w:rFonts w:ascii="Times New Roman" w:hAnsi="Times New Roman"/>
          <w:b w:val="false"/>
          <w:i/>
          <w:color w:val="000000"/>
          <w:sz w:val="24"/>
        </w:rPr>
        <w:t>“b”</w:t>
      </w:r>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shall apply to all agreements entered into for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agreement entered pursuant to Iowa Code section </w:t>
      </w:r>
      <w:hyperlink r:id="rId27">
        <w:r>
          <w:rPr>
            <w:rStyle w:val="Hyperlink"/>
            <w:rFonts w:ascii="Times New Roman" w:hAnsi="Times New Roman"/>
            <w:b w:val="false"/>
            <w:i w:val="false"/>
            <w:color w:val="000000"/>
            <w:sz w:val="24"/>
          </w:rPr>
          <w:t>15.354(3)</w:t>
        </w:r>
      </w:hyperlink>
      <w:r>
        <w:rPr>
          <w:rFonts w:ascii="Times New Roman" w:hAnsi="Times New Roman"/>
          <w:b w:val="false"/>
          <w:i w:val="false"/>
          <w:color w:val="000000"/>
          <w:sz w:val="24"/>
        </w:rPr>
        <w:t xml:space="preserve"> may only be amended if done so in writing and signed by the housing business and the authority. Examples of situations requiring an amendment include but are not limited to time extensions, budget revisions, and significant alterations of the housing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Upon completion of a housing project, a housing business shall submit all of the information and documentation required by Iowa Code section </w:t>
      </w:r>
      <w:hyperlink r:id="rId28">
        <w:r>
          <w:rPr>
            <w:rStyle w:val="Hyperlink"/>
            <w:rFonts w:ascii="Times New Roman" w:hAnsi="Times New Roman"/>
            <w:b w:val="false"/>
            <w:i w:val="false"/>
            <w:color w:val="000000"/>
            <w:sz w:val="24"/>
          </w:rPr>
          <w:t>15.354(3)</w:t>
        </w:r>
      </w:hyperlink>
      <w:r>
        <w:rPr>
          <w:rFonts w:ascii="Times New Roman" w:hAnsi="Times New Roman"/>
          <w:b w:val="false"/>
          <w:i/>
          <w:color w:val="000000"/>
          <w:sz w:val="24"/>
        </w:rPr>
        <w:t>“d”</w:t>
      </w:r>
      <w:r>
        <w:rPr>
          <w:rFonts w:ascii="Times New Roman" w:hAnsi="Times New Roman"/>
          <w:b w:val="false"/>
          <w:i w:val="false"/>
          <w:color w:val="000000"/>
          <w:sz w:val="24"/>
        </w:rPr>
        <w:t xml:space="preserve"> to the authority along with a statement of all funding sources utilized for the project including government financing. The attestation applicable to the examination required by Iowa Code section </w:t>
      </w:r>
      <w:hyperlink r:id="rId29">
        <w:r>
          <w:rPr>
            <w:rStyle w:val="Hyperlink"/>
            <w:rFonts w:ascii="Times New Roman" w:hAnsi="Times New Roman"/>
            <w:b w:val="false"/>
            <w:i w:val="false"/>
            <w:color w:val="000000"/>
            <w:sz w:val="24"/>
          </w:rPr>
          <w:t>15.354(3)</w:t>
        </w:r>
      </w:hyperlink>
      <w:r>
        <w:rPr>
          <w:rFonts w:ascii="Times New Roman" w:hAnsi="Times New Roman"/>
          <w:b w:val="false"/>
          <w:i/>
          <w:color w:val="000000"/>
          <w:sz w:val="24"/>
        </w:rPr>
        <w:t>“d”</w:t>
      </w:r>
      <w:r>
        <w:rPr>
          <w:rFonts w:ascii="Times New Roman" w:hAnsi="Times New Roman"/>
          <w:b w:val="false"/>
          <w:i w:val="false"/>
          <w:color w:val="000000"/>
          <w:sz w:val="24"/>
        </w:rPr>
        <w:t xml:space="preserve"> is SSAE No. 10 (as amended by SSAE Nos. 11, 12, 14), AT section 101, and AT section 601 or other comparable attestations as identified by the authority. The procedures used by the certified public accountant (CPA) to conduct the examination should allow the CPA to conclude that, in the CPA’s professional judgment, the expenditures claimed are eligible pursuant to the agreement; Iowa Code chapter </w:t>
      </w:r>
      <w:hyperlink r:id="rId30">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II, part 17; and all rules adopted pursuant to Iowa Code chapter </w:t>
      </w:r>
      <w:hyperlink r:id="rId31">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subchapter II, part 17, in all material respects. Within ten business days of a request by the authority, the housing business shall make available to the authority the documents reviewed by the CPA unless good cause is shown.</w:t>
      </w:r>
    </w:p>
    <w:p>
      <w:pPr>
        <w:spacing w:before="0" w:after="0" w:line="480"/>
        <w:ind w:left="120"/>
        <w:jc w:val="both"/>
      </w:pPr>
      <w:r>
        <w:rPr>
          <w:rFonts w:ascii="Times New Roman" w:hAnsi="Times New Roman"/>
          <w:b/>
          <w:i w:val="false"/>
          <w:color w:val="000000"/>
          <w:sz w:val="24"/>
        </w:rPr>
        <w:t>261—48.4</w:t>
      </w:r>
      <w:r>
        <w:rPr>
          <w:rFonts w:ascii="Times New Roman" w:hAnsi="Times New Roman"/>
          <w:b/>
          <w:i w:val="false"/>
          <w:color w:val="000000"/>
          <w:sz w:val="24"/>
        </w:rPr>
        <w:t xml:space="preserve">(15) </w:t>
      </w:r>
      <w:r>
        <w:rPr>
          <w:rFonts w:ascii="Times New Roman" w:hAnsi="Times New Roman"/>
          <w:b/>
          <w:i w:val="false"/>
          <w:color w:val="000000"/>
          <w:sz w:val="24"/>
        </w:rPr>
        <w:t xml:space="preserve">Workforce housing tax incentives.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48.4(1)</w:t>
      </w:r>
      <w:r>
        <w:rPr>
          <w:rFonts w:ascii="Times New Roman" w:hAnsi="Times New Roman"/>
          <w:b w:val="false"/>
          <w:i w:val="false"/>
          <w:color w:val="000000"/>
          <w:sz w:val="24"/>
        </w:rPr>
        <w:t> </w:t>
      </w:r>
      <w:r>
        <w:rPr>
          <w:rFonts w:ascii="Times New Roman" w:hAnsi="Times New Roman"/>
          <w:b w:val="false"/>
          <w:i/>
          <w:color w:val="000000"/>
          <w:sz w:val="24"/>
        </w:rPr>
        <w:t xml:space="preserve">Eligibility. </w:t>
      </w:r>
      <w:r>
        <w:rPr>
          <w:rFonts w:ascii="Times New Roman" w:hAnsi="Times New Roman"/>
          <w:b w:val="false"/>
          <w:i w:val="false"/>
          <w:color w:val="000000"/>
          <w:sz w:val="24"/>
        </w:rPr>
        <w:t xml:space="preserve">A housing business that has entered into an agreement pursuant to rule </w:t>
      </w:r>
      <w:hyperlink r:id="rId32">
        <w:r>
          <w:rPr>
            <w:rStyle w:val="Hyperlink"/>
            <w:rFonts w:ascii="Times New Roman" w:hAnsi="Times New Roman"/>
            <w:b w:val="false"/>
            <w:i w:val="false"/>
            <w:color w:val="000000"/>
            <w:sz w:val="24"/>
          </w:rPr>
          <w:t>261—48.3</w:t>
        </w:r>
      </w:hyperlink>
      <w:r>
        <w:rPr>
          <w:rFonts w:ascii="Times New Roman" w:hAnsi="Times New Roman"/>
          <w:b w:val="false"/>
          <w:i w:val="false"/>
          <w:color w:val="000000"/>
          <w:sz w:val="24"/>
        </w:rPr>
        <w:t xml:space="preserve">(15) is eligible to receive the sales tax refund and income tax credit described in Iowa Code section </w:t>
      </w:r>
      <w:hyperlink r:id="rId33">
        <w:r>
          <w:rPr>
            <w:rStyle w:val="Hyperlink"/>
            <w:rFonts w:ascii="Times New Roman" w:hAnsi="Times New Roman"/>
            <w:b w:val="false"/>
            <w:i w:val="false"/>
            <w:color w:val="000000"/>
            <w:sz w:val="24"/>
          </w:rPr>
          <w:t>15.355</w:t>
        </w:r>
      </w:hyperlink>
      <w:r>
        <w:rPr>
          <w:rFonts w:ascii="Times New Roman" w:hAnsi="Times New Roman"/>
          <w:b w:val="false"/>
          <w:i w:val="false"/>
          <w:color w:val="000000"/>
          <w:sz w:val="24"/>
        </w:rPr>
        <w:t xml:space="preserve">. Tax incentives may be claimed pursuant to Iowa Code section </w:t>
      </w:r>
      <w:hyperlink r:id="rId34">
        <w:r>
          <w:rPr>
            <w:rStyle w:val="Hyperlink"/>
            <w:rFonts w:ascii="Times New Roman" w:hAnsi="Times New Roman"/>
            <w:b w:val="false"/>
            <w:i w:val="false"/>
            <w:color w:val="000000"/>
            <w:sz w:val="24"/>
          </w:rPr>
          <w:t>15.355</w:t>
        </w:r>
      </w:hyperlink>
      <w:r>
        <w:rPr>
          <w:rFonts w:ascii="Times New Roman" w:hAnsi="Times New Roman"/>
          <w:b w:val="false"/>
          <w:i w:val="false"/>
          <w:color w:val="000000"/>
          <w:sz w:val="24"/>
        </w:rPr>
        <w:t xml:space="preserve"> and any applicable rules adopted by the department of revenue.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48.4(2)</w:t>
      </w:r>
      <w:r>
        <w:rPr>
          <w:rFonts w:ascii="Times New Roman" w:hAnsi="Times New Roman"/>
          <w:b w:val="false"/>
          <w:i w:val="false"/>
          <w:color w:val="000000"/>
          <w:sz w:val="24"/>
        </w:rPr>
        <w:t> </w:t>
      </w:r>
      <w:r>
        <w:rPr>
          <w:rFonts w:ascii="Times New Roman" w:hAnsi="Times New Roman"/>
          <w:b w:val="false"/>
          <w:i/>
          <w:color w:val="000000"/>
          <w:sz w:val="24"/>
        </w:rPr>
        <w:t xml:space="preserve">Transfer. </w:t>
      </w:r>
      <w:r>
        <w:rPr>
          <w:rFonts w:ascii="Times New Roman" w:hAnsi="Times New Roman"/>
          <w:b w:val="false"/>
          <w:i w:val="false"/>
          <w:color w:val="000000"/>
          <w:sz w:val="24"/>
        </w:rPr>
        <w:t xml:space="preserve">Tax credit certificates may be transferred to any person pursuant to Iowa Code section </w:t>
      </w:r>
      <w:hyperlink r:id="rId35">
        <w:r>
          <w:rPr>
            <w:rStyle w:val="Hyperlink"/>
            <w:rFonts w:ascii="Times New Roman" w:hAnsi="Times New Roman"/>
            <w:b w:val="false"/>
            <w:i w:val="false"/>
            <w:color w:val="000000"/>
            <w:sz w:val="24"/>
          </w:rPr>
          <w:t>15.355</w:t>
        </w:r>
      </w:hyperlink>
      <w:r>
        <w:rPr>
          <w:rFonts w:ascii="Times New Roman" w:hAnsi="Times New Roman"/>
          <w:b w:val="false"/>
          <w:i w:val="false"/>
          <w:color w:val="000000"/>
          <w:sz w:val="24"/>
        </w:rPr>
        <w:t xml:space="preserve"> and the applicable rules adopted by the department of revenue. However, tax credit certificate amounts of less than $1,000 shall not be transferable.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48.4(3)</w:t>
      </w:r>
      <w:r>
        <w:rPr>
          <w:rFonts w:ascii="Times New Roman" w:hAnsi="Times New Roman"/>
          <w:b w:val="false"/>
          <w:i w:val="false"/>
          <w:color w:val="000000"/>
          <w:sz w:val="24"/>
        </w:rPr>
        <w:t> </w:t>
      </w:r>
      <w:r>
        <w:rPr>
          <w:rFonts w:ascii="Times New Roman" w:hAnsi="Times New Roman"/>
          <w:b w:val="false"/>
          <w:i/>
          <w:color w:val="000000"/>
          <w:sz w:val="24"/>
        </w:rPr>
        <w:t xml:space="preserve">Tax credit limitations. </w:t>
      </w:r>
      <w:r>
        <w:rPr>
          <w:rFonts w:ascii="Times New Roman" w:hAnsi="Times New Roman"/>
          <w:b w:val="false"/>
          <w:i w:val="false"/>
          <w:color w:val="000000"/>
          <w:sz w:val="24"/>
        </w:rPr>
        <w:t xml:space="preserve">The tax credit limitations specified in Iowa Code section </w:t>
      </w:r>
      <w:hyperlink r:id="rId36">
        <w:r>
          <w:rPr>
            <w:rStyle w:val="Hyperlink"/>
            <w:rFonts w:ascii="Times New Roman" w:hAnsi="Times New Roman"/>
            <w:b w:val="false"/>
            <w:i w:val="false"/>
            <w:color w:val="000000"/>
            <w:sz w:val="24"/>
          </w:rPr>
          <w:t>15.354(4)</w:t>
        </w:r>
      </w:hyperlink>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shall apply.</w:t>
      </w:r>
    </w:p>
    <w:p>
      <w:pPr>
        <w:pBdr>
          <w:top w:space="10"/>
        </w:pBdr>
        <w:spacing w:before="0" w:after="0" w:line="480"/>
        <w:ind w:left="120"/>
        <w:jc w:val="center"/>
      </w:pPr>
      <w:r>
        <w:rPr>
          <w:rFonts w:ascii="Times New Roman" w:hAnsi="Times New Roman"/>
          <w:b w:val="false"/>
          <w:i w:val="false"/>
          <w:color w:val="000000"/>
          <w:sz w:val="16"/>
        </w:rPr>
        <w:t>DISASTER RECOVERY HOUSING PROGRAM</w:t>
      </w:r>
    </w:p>
    <w:p>
      <w:pPr>
        <w:spacing w:before="210" w:after="0" w:line="480"/>
        <w:ind w:left="120"/>
        <w:jc w:val="both"/>
      </w:pPr>
      <w:r>
        <w:rPr>
          <w:rFonts w:ascii="Times New Roman" w:hAnsi="Times New Roman"/>
          <w:b/>
          <w:i w:val="false"/>
          <w:color w:val="000000"/>
          <w:sz w:val="24"/>
        </w:rPr>
        <w:t>261—48.5</w:t>
      </w:r>
      <w:r>
        <w:rPr>
          <w:rFonts w:ascii="Times New Roman" w:hAnsi="Times New Roman"/>
          <w:b/>
          <w:i w:val="false"/>
          <w:color w:val="000000"/>
          <w:sz w:val="24"/>
        </w:rPr>
        <w:t xml:space="preserve">(15) </w:t>
      </w:r>
      <w:r>
        <w:rPr>
          <w:rFonts w:ascii="Times New Roman" w:hAnsi="Times New Roman"/>
          <w:b/>
          <w:i w:val="false"/>
          <w:color w:val="000000"/>
          <w:sz w:val="24"/>
        </w:rPr>
        <w:t xml:space="preserve">Disaster recovery housing project requirements. </w:t>
      </w:r>
      <w:r>
        <w:rPr>
          <w:rFonts w:ascii="Times New Roman" w:hAnsi="Times New Roman"/>
          <w:b w:val="false"/>
          <w:i w:val="false"/>
          <w:color w:val="000000"/>
          <w:sz w:val="24"/>
        </w:rPr>
        <w:t xml:space="preserve">To receive disaster recovery housing tax incentives pursuant to the program, a proposed disaster recovery housing project shall meet all requirements for other housing projects in rule </w:t>
      </w:r>
      <w:hyperlink r:id="rId37">
        <w:r>
          <w:rPr>
            <w:rStyle w:val="Hyperlink"/>
            <w:rFonts w:ascii="Times New Roman" w:hAnsi="Times New Roman"/>
            <w:b w:val="false"/>
            <w:i w:val="false"/>
            <w:color w:val="000000"/>
            <w:sz w:val="24"/>
          </w:rPr>
          <w:t>261—48.2</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i w:val="false"/>
          <w:color w:val="000000"/>
          <w:sz w:val="24"/>
        </w:rPr>
        <w:t>261—48.6</w:t>
      </w:r>
      <w:r>
        <w:rPr>
          <w:rFonts w:ascii="Times New Roman" w:hAnsi="Times New Roman"/>
          <w:b/>
          <w:i w:val="false"/>
          <w:color w:val="000000"/>
          <w:sz w:val="24"/>
        </w:rPr>
        <w:t xml:space="preserve">(15) </w:t>
      </w:r>
      <w:r>
        <w:rPr>
          <w:rFonts w:ascii="Times New Roman" w:hAnsi="Times New Roman"/>
          <w:b/>
          <w:i w:val="false"/>
          <w:color w:val="000000"/>
          <w:sz w:val="24"/>
        </w:rPr>
        <w:t xml:space="preserve">Disaster recovery housing project application and agreement.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48.6(1)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 xml:space="preserve">Information about applying for disaster recovery tax incentives will be available on the authority’s website. A housing business shall apply for tax incentives in the form and with the content specified by the authority. The application will include all the information described in Iowa Code section </w:t>
      </w:r>
      <w:hyperlink r:id="rId38">
        <w:r>
          <w:rPr>
            <w:rStyle w:val="Hyperlink"/>
            <w:rFonts w:ascii="Times New Roman" w:hAnsi="Times New Roman"/>
            <w:b w:val="false"/>
            <w:i w:val="false"/>
            <w:color w:val="000000"/>
            <w:sz w:val="24"/>
          </w:rPr>
          <w:t>15.354(1)</w:t>
        </w:r>
      </w:hyperlink>
      <w:r>
        <w:rPr>
          <w:rFonts w:ascii="Times New Roman" w:hAnsi="Times New Roman"/>
          <w:b w:val="false"/>
          <w:i w:val="false"/>
          <w:color w:val="000000"/>
          <w:sz w:val="24"/>
        </w:rPr>
        <w:t>. If tax credits for disaster recovery housing projects are available, the authority may establish a disaster recovery application period following the declaration of a major disaster by the President of the United States for a county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48.6(2)</w:t>
      </w:r>
      <w:r>
        <w:rPr>
          <w:rFonts w:ascii="Times New Roman" w:hAnsi="Times New Roman"/>
          <w:b w:val="false"/>
          <w:i w:val="false"/>
          <w:color w:val="000000"/>
          <w:sz w:val="24"/>
        </w:rPr>
        <w:t> </w:t>
      </w:r>
      <w:r>
        <w:rPr>
          <w:rFonts w:ascii="Times New Roman" w:hAnsi="Times New Roman"/>
          <w:b w:val="false"/>
          <w:i/>
          <w:color w:val="000000"/>
          <w:sz w:val="24"/>
        </w:rPr>
        <w:t xml:space="preserve">Application review and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completed applications shall be reviewed and scored pursuant to Iowa Code section </w:t>
      </w:r>
      <w:hyperlink r:id="rId39">
        <w:r>
          <w:rPr>
            <w:rStyle w:val="Hyperlink"/>
            <w:rFonts w:ascii="Times New Roman" w:hAnsi="Times New Roman"/>
            <w:b w:val="false"/>
            <w:i w:val="false"/>
            <w:color w:val="000000"/>
            <w:sz w:val="24"/>
          </w:rPr>
          <w:t>15.354(2)</w:t>
        </w:r>
      </w:hyperlink>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Review criteria include but are not limited to project need, project readiness, financial capacity, and project impact.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director will approve tax incentive awards after considering the recommendations of staff. The director may approve, defer, or deny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48.6(3)</w:t>
      </w:r>
      <w:r>
        <w:rPr>
          <w:rFonts w:ascii="Times New Roman" w:hAnsi="Times New Roman"/>
          <w:b w:val="false"/>
          <w:i w:val="false"/>
          <w:color w:val="000000"/>
          <w:sz w:val="24"/>
        </w:rPr>
        <w:t> </w:t>
      </w:r>
      <w:r>
        <w:rPr>
          <w:rFonts w:ascii="Times New Roman" w:hAnsi="Times New Roman"/>
          <w:b w:val="false"/>
          <w:i/>
          <w:color w:val="000000"/>
          <w:sz w:val="24"/>
        </w:rPr>
        <w:t xml:space="preserve">Agreement and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housing business that has been approved for disaster recovery tax incentives shall execute and return the agreement required by Iowa Code section </w:t>
      </w:r>
      <w:hyperlink r:id="rId40">
        <w:r>
          <w:rPr>
            <w:rStyle w:val="Hyperlink"/>
            <w:rFonts w:ascii="Times New Roman" w:hAnsi="Times New Roman"/>
            <w:b w:val="false"/>
            <w:i w:val="false"/>
            <w:color w:val="000000"/>
            <w:sz w:val="24"/>
          </w:rPr>
          <w:t>15.354(3)</w:t>
        </w:r>
      </w:hyperlink>
      <w:r>
        <w:rPr>
          <w:rFonts w:ascii="Times New Roman" w:hAnsi="Times New Roman"/>
          <w:b w:val="false"/>
          <w:i w:val="false"/>
          <w:color w:val="000000"/>
          <w:sz w:val="24"/>
        </w:rPr>
        <w:t xml:space="preserve"> within 90 days of transmittal. Failure to do so may be cause for the director to terminate the award.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compliance cost fees imposed in Iowa Code section </w:t>
      </w:r>
      <w:hyperlink r:id="rId41">
        <w:r>
          <w:rPr>
            <w:rStyle w:val="Hyperlink"/>
            <w:rFonts w:ascii="Times New Roman" w:hAnsi="Times New Roman"/>
            <w:b w:val="false"/>
            <w:i w:val="false"/>
            <w:color w:val="000000"/>
            <w:sz w:val="24"/>
          </w:rPr>
          <w:t>15.354(3)</w:t>
        </w:r>
      </w:hyperlink>
      <w:r>
        <w:rPr>
          <w:rFonts w:ascii="Times New Roman" w:hAnsi="Times New Roman"/>
          <w:b w:val="false"/>
          <w:i/>
          <w:color w:val="000000"/>
          <w:sz w:val="24"/>
        </w:rPr>
        <w:t>“b”</w:t>
      </w:r>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shall apply to all agreements entered into for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agreement entered pursuant to Iowa Code section </w:t>
      </w:r>
      <w:hyperlink r:id="rId42">
        <w:r>
          <w:rPr>
            <w:rStyle w:val="Hyperlink"/>
            <w:rFonts w:ascii="Times New Roman" w:hAnsi="Times New Roman"/>
            <w:b w:val="false"/>
            <w:i w:val="false"/>
            <w:color w:val="000000"/>
            <w:sz w:val="24"/>
          </w:rPr>
          <w:t>15.354(3)</w:t>
        </w:r>
      </w:hyperlink>
      <w:r>
        <w:rPr>
          <w:rFonts w:ascii="Times New Roman" w:hAnsi="Times New Roman"/>
          <w:b w:val="false"/>
          <w:i w:val="false"/>
          <w:color w:val="000000"/>
          <w:sz w:val="24"/>
        </w:rPr>
        <w:t xml:space="preserve"> may only be amended if done so in writing and signed by the housing business and the authority. Examples of situations requiring an amendment include but are not limited to time extensions, budget revisions, and significant alterations of the housing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Upon completion of a disaster recovery housing project, a housing business shall submit all information and documentation required by Iowa Code section </w:t>
      </w:r>
      <w:hyperlink r:id="rId43">
        <w:r>
          <w:rPr>
            <w:rStyle w:val="Hyperlink"/>
            <w:rFonts w:ascii="Times New Roman" w:hAnsi="Times New Roman"/>
            <w:b w:val="false"/>
            <w:i w:val="false"/>
            <w:color w:val="000000"/>
            <w:sz w:val="24"/>
          </w:rPr>
          <w:t>15.354(3)</w:t>
        </w:r>
      </w:hyperlink>
      <w:r>
        <w:rPr>
          <w:rFonts w:ascii="Times New Roman" w:hAnsi="Times New Roman"/>
          <w:b w:val="false"/>
          <w:i/>
          <w:color w:val="000000"/>
          <w:sz w:val="24"/>
        </w:rPr>
        <w:t>“d”</w:t>
      </w:r>
      <w:r>
        <w:rPr>
          <w:rFonts w:ascii="Times New Roman" w:hAnsi="Times New Roman"/>
          <w:b w:val="false"/>
          <w:i w:val="false"/>
          <w:color w:val="000000"/>
          <w:sz w:val="24"/>
        </w:rPr>
        <w:t xml:space="preserve"> to the authority along with a statement of all funding sources utilized for the project including government financing. The attestation applicable to the examination required by Iowa Code section </w:t>
      </w:r>
      <w:hyperlink r:id="rId44">
        <w:r>
          <w:rPr>
            <w:rStyle w:val="Hyperlink"/>
            <w:rFonts w:ascii="Times New Roman" w:hAnsi="Times New Roman"/>
            <w:b w:val="false"/>
            <w:i w:val="false"/>
            <w:color w:val="000000"/>
            <w:sz w:val="24"/>
          </w:rPr>
          <w:t>15.354(3)</w:t>
        </w:r>
      </w:hyperlink>
      <w:r>
        <w:rPr>
          <w:rFonts w:ascii="Times New Roman" w:hAnsi="Times New Roman"/>
          <w:b w:val="false"/>
          <w:i/>
          <w:color w:val="000000"/>
          <w:sz w:val="24"/>
        </w:rPr>
        <w:t>“d”</w:t>
      </w:r>
      <w:r>
        <w:rPr>
          <w:rFonts w:ascii="Times New Roman" w:hAnsi="Times New Roman"/>
          <w:b w:val="false"/>
          <w:i w:val="false"/>
          <w:color w:val="000000"/>
          <w:sz w:val="24"/>
        </w:rPr>
        <w:t xml:space="preserve"> is as described in paragraph </w:t>
      </w:r>
      <w:hyperlink r:id="rId45">
        <w:r>
          <w:rPr>
            <w:rStyle w:val="Hyperlink"/>
            <w:rFonts w:ascii="Times New Roman" w:hAnsi="Times New Roman"/>
            <w:b w:val="false"/>
            <w:i w:val="false"/>
            <w:color w:val="000000"/>
            <w:sz w:val="24"/>
          </w:rPr>
          <w:t>48.3(3)</w:t>
        </w:r>
      </w:hyperlink>
      <w:r>
        <w:rPr>
          <w:rFonts w:ascii="Times New Roman" w:hAnsi="Times New Roman"/>
          <w:b w:val="false"/>
          <w:i/>
          <w:color w:val="000000"/>
          <w:sz w:val="24"/>
        </w:rPr>
        <w:t>“c.”</w:t>
      </w:r>
    </w:p>
    <w:p>
      <w:pPr>
        <w:spacing w:before="0" w:after="0" w:line="480"/>
        <w:ind w:left="120"/>
        <w:jc w:val="both"/>
      </w:pPr>
      <w:r>
        <w:rPr>
          <w:rFonts w:ascii="Times New Roman" w:hAnsi="Times New Roman"/>
          <w:b/>
          <w:i w:val="false"/>
          <w:color w:val="000000"/>
          <w:sz w:val="24"/>
        </w:rPr>
        <w:t>261—48.7</w:t>
      </w:r>
      <w:r>
        <w:rPr>
          <w:rFonts w:ascii="Times New Roman" w:hAnsi="Times New Roman"/>
          <w:b/>
          <w:i w:val="false"/>
          <w:color w:val="000000"/>
          <w:sz w:val="24"/>
        </w:rPr>
        <w:t xml:space="preserve">(15) </w:t>
      </w:r>
      <w:r>
        <w:rPr>
          <w:rFonts w:ascii="Times New Roman" w:hAnsi="Times New Roman"/>
          <w:b/>
          <w:i w:val="false"/>
          <w:color w:val="000000"/>
          <w:sz w:val="24"/>
        </w:rPr>
        <w:t xml:space="preserve">Disaster recovery housing tax incentives.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48.7(1)</w:t>
      </w:r>
      <w:r>
        <w:rPr>
          <w:rFonts w:ascii="Times New Roman" w:hAnsi="Times New Roman"/>
          <w:b w:val="false"/>
          <w:i w:val="false"/>
          <w:color w:val="000000"/>
          <w:sz w:val="24"/>
        </w:rPr>
        <w:t> </w:t>
      </w:r>
      <w:r>
        <w:rPr>
          <w:rFonts w:ascii="Times New Roman" w:hAnsi="Times New Roman"/>
          <w:b w:val="false"/>
          <w:i/>
          <w:color w:val="000000"/>
          <w:sz w:val="24"/>
        </w:rPr>
        <w:t xml:space="preserve">Eligibility. </w:t>
      </w:r>
      <w:r>
        <w:rPr>
          <w:rFonts w:ascii="Times New Roman" w:hAnsi="Times New Roman"/>
          <w:b w:val="false"/>
          <w:i w:val="false"/>
          <w:color w:val="000000"/>
          <w:sz w:val="24"/>
        </w:rPr>
        <w:t xml:space="preserve">A housing business that has entered into an agreement pursuant to rule </w:t>
      </w:r>
      <w:hyperlink r:id="rId46">
        <w:r>
          <w:rPr>
            <w:rStyle w:val="Hyperlink"/>
            <w:rFonts w:ascii="Times New Roman" w:hAnsi="Times New Roman"/>
            <w:b w:val="false"/>
            <w:i w:val="false"/>
            <w:color w:val="000000"/>
            <w:sz w:val="24"/>
          </w:rPr>
          <w:t>261—48.6</w:t>
        </w:r>
      </w:hyperlink>
      <w:r>
        <w:rPr>
          <w:rFonts w:ascii="Times New Roman" w:hAnsi="Times New Roman"/>
          <w:b w:val="false"/>
          <w:i w:val="false"/>
          <w:color w:val="000000"/>
          <w:sz w:val="24"/>
        </w:rPr>
        <w:t xml:space="preserve">(15) is eligible to receive the sales tax refund and income tax credit described in Iowa Code section </w:t>
      </w:r>
      <w:hyperlink r:id="rId47">
        <w:r>
          <w:rPr>
            <w:rStyle w:val="Hyperlink"/>
            <w:rFonts w:ascii="Times New Roman" w:hAnsi="Times New Roman"/>
            <w:b w:val="false"/>
            <w:i w:val="false"/>
            <w:color w:val="000000"/>
            <w:sz w:val="24"/>
          </w:rPr>
          <w:t>15.355</w:t>
        </w:r>
      </w:hyperlink>
      <w:r>
        <w:rPr>
          <w:rFonts w:ascii="Times New Roman" w:hAnsi="Times New Roman"/>
          <w:b w:val="false"/>
          <w:i w:val="false"/>
          <w:color w:val="000000"/>
          <w:sz w:val="24"/>
        </w:rPr>
        <w:t xml:space="preserve">. Tax incentives may be claimed pursuant to Iowa Code section </w:t>
      </w:r>
      <w:hyperlink r:id="rId48">
        <w:r>
          <w:rPr>
            <w:rStyle w:val="Hyperlink"/>
            <w:rFonts w:ascii="Times New Roman" w:hAnsi="Times New Roman"/>
            <w:b w:val="false"/>
            <w:i w:val="false"/>
            <w:color w:val="000000"/>
            <w:sz w:val="24"/>
          </w:rPr>
          <w:t>15.355</w:t>
        </w:r>
      </w:hyperlink>
      <w:r>
        <w:rPr>
          <w:rFonts w:ascii="Times New Roman" w:hAnsi="Times New Roman"/>
          <w:b w:val="false"/>
          <w:i w:val="false"/>
          <w:color w:val="000000"/>
          <w:sz w:val="24"/>
        </w:rPr>
        <w:t xml:space="preserve"> and any applicable rules adopted by the department of revenue.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48.7(2)</w:t>
      </w:r>
      <w:r>
        <w:rPr>
          <w:rFonts w:ascii="Times New Roman" w:hAnsi="Times New Roman"/>
          <w:b w:val="false"/>
          <w:i w:val="false"/>
          <w:color w:val="000000"/>
          <w:sz w:val="24"/>
        </w:rPr>
        <w:t> </w:t>
      </w:r>
      <w:r>
        <w:rPr>
          <w:rFonts w:ascii="Times New Roman" w:hAnsi="Times New Roman"/>
          <w:b w:val="false"/>
          <w:i/>
          <w:color w:val="000000"/>
          <w:sz w:val="24"/>
        </w:rPr>
        <w:t xml:space="preserve">Transfer. </w:t>
      </w:r>
      <w:r>
        <w:rPr>
          <w:rFonts w:ascii="Times New Roman" w:hAnsi="Times New Roman"/>
          <w:b w:val="false"/>
          <w:i w:val="false"/>
          <w:color w:val="000000"/>
          <w:sz w:val="24"/>
        </w:rPr>
        <w:t xml:space="preserve">Tax credit certificates may be transferred to any person pursuant to Iowa Code section </w:t>
      </w:r>
      <w:hyperlink r:id="rId49">
        <w:r>
          <w:rPr>
            <w:rStyle w:val="Hyperlink"/>
            <w:rFonts w:ascii="Times New Roman" w:hAnsi="Times New Roman"/>
            <w:b w:val="false"/>
            <w:i w:val="false"/>
            <w:color w:val="000000"/>
            <w:sz w:val="24"/>
          </w:rPr>
          <w:t>15.355</w:t>
        </w:r>
      </w:hyperlink>
      <w:r>
        <w:rPr>
          <w:rFonts w:ascii="Times New Roman" w:hAnsi="Times New Roman"/>
          <w:b w:val="false"/>
          <w:i w:val="false"/>
          <w:color w:val="000000"/>
          <w:sz w:val="24"/>
        </w:rPr>
        <w:t xml:space="preserve"> and the applicable rules adopted by the department of revenue. However, tax credit certificate amounts of less than $1,000 shall not be transferable.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48.7(3)</w:t>
      </w:r>
      <w:r>
        <w:rPr>
          <w:rFonts w:ascii="Times New Roman" w:hAnsi="Times New Roman"/>
          <w:b w:val="false"/>
          <w:i w:val="false"/>
          <w:color w:val="000000"/>
          <w:sz w:val="24"/>
        </w:rPr>
        <w:t> </w:t>
      </w:r>
      <w:r>
        <w:rPr>
          <w:rFonts w:ascii="Times New Roman" w:hAnsi="Times New Roman"/>
          <w:b w:val="false"/>
          <w:i/>
          <w:color w:val="000000"/>
          <w:sz w:val="24"/>
        </w:rPr>
        <w:t xml:space="preserve">Tax credit limitations. </w:t>
      </w:r>
      <w:r>
        <w:rPr>
          <w:rFonts w:ascii="Times New Roman" w:hAnsi="Times New Roman"/>
          <w:b w:val="false"/>
          <w:i w:val="false"/>
          <w:color w:val="000000"/>
          <w:sz w:val="24"/>
        </w:rPr>
        <w:t xml:space="preserve">The tax credit limitations specified in Iowa Code section </w:t>
      </w:r>
      <w:hyperlink r:id="rId50">
        <w:r>
          <w:rPr>
            <w:rStyle w:val="Hyperlink"/>
            <w:rFonts w:ascii="Times New Roman" w:hAnsi="Times New Roman"/>
            <w:b w:val="false"/>
            <w:i w:val="false"/>
            <w:color w:val="000000"/>
            <w:sz w:val="24"/>
          </w:rPr>
          <w:t>15.354(4)</w:t>
        </w:r>
      </w:hyperlink>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or that may otherwise be specified for disaster recovery housing projects shall apply.</w:t>
      </w:r>
    </w:p>
    <w:p>
      <w:pPr>
        <w:spacing w:before="210" w:after="0" w:line="480"/>
        <w:ind w:left="120"/>
        <w:jc w:val="both"/>
      </w:pPr>
      <w:r>
        <w:rPr>
          <w:rFonts w:ascii="Times New Roman" w:hAnsi="Times New Roman"/>
          <w:b/>
          <w:i w:val="false"/>
          <w:color w:val="000000"/>
          <w:sz w:val="24"/>
        </w:rPr>
        <w:t>261—48.8</w:t>
      </w:r>
      <w:r>
        <w:rPr>
          <w:rFonts w:ascii="Times New Roman" w:hAnsi="Times New Roman"/>
          <w:b/>
          <w:i w:val="false"/>
          <w:color w:val="000000"/>
          <w:sz w:val="24"/>
        </w:rPr>
        <w:t xml:space="preserve">(15) </w:t>
      </w:r>
      <w:r>
        <w:rPr>
          <w:rFonts w:ascii="Times New Roman" w:hAnsi="Times New Roman"/>
          <w:b/>
          <w:i w:val="false"/>
          <w:color w:val="000000"/>
          <w:sz w:val="24"/>
        </w:rPr>
        <w:t xml:space="preserve">Projects located in small cities. </w:t>
      </w:r>
      <w:r>
        <w:rPr>
          <w:rFonts w:ascii="Times New Roman" w:hAnsi="Times New Roman"/>
          <w:b w:val="false"/>
          <w:i w:val="false"/>
          <w:color w:val="000000"/>
          <w:sz w:val="24"/>
        </w:rPr>
        <w:t xml:space="preserve">A housing project located in a city or township that meets the criteria in Iowa Code section </w:t>
      </w:r>
      <w:hyperlink r:id="rId51">
        <w:r>
          <w:rPr>
            <w:rStyle w:val="Hyperlink"/>
            <w:rFonts w:ascii="Times New Roman" w:hAnsi="Times New Roman"/>
            <w:b w:val="false"/>
            <w:i w:val="false"/>
            <w:color w:val="000000"/>
            <w:sz w:val="24"/>
          </w:rPr>
          <w:t>15.352(10)</w:t>
        </w:r>
      </w:hyperlink>
      <w:r>
        <w:rPr>
          <w:rFonts w:ascii="Times New Roman" w:hAnsi="Times New Roman"/>
          <w:b w:val="false"/>
          <w:i/>
          <w:color w:val="000000"/>
          <w:sz w:val="24"/>
        </w:rPr>
        <w:t>“b”</w:t>
      </w:r>
      <w:r>
        <w:rPr>
          <w:rFonts w:ascii="Times New Roman" w:hAnsi="Times New Roman"/>
          <w:b w:val="false"/>
          <w:i w:val="false"/>
          <w:color w:val="000000"/>
          <w:sz w:val="24"/>
        </w:rPr>
        <w:t xml:space="preserve"> must be located at least five miles from the city limits of a city with a population greater than 2,500 to be considered located in a small city. Population for the purposes of this rule will be as determined by either the most recent population estimate produced by the United States Bureau of Census or the most recent decennial census released by the United States Bureau of Census.</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52">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subchapter II, part 17.</w:t>
      </w:r>
    </w:p>
    <w:p>
      <w:pPr>
        <w:spacing w:before="0" w:after="0" w:line="480"/>
        <w:ind w:left="120"/>
        <w:jc w:val="left"/>
      </w:pPr>
      <w:bookmarkStart w:name="lastARC" w:id="2"/>
      <w:bookmarkEnd w:id="2"/>
    </w:p>
    <w:sectPr>
      <w:footerReference r:id="rId5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co/chapter/15.102.pdf" Type="http://schemas.openxmlformats.org/officeDocument/2006/relationships/hyperlink" Id="rId9"/>
    <Relationship TargetMode="External" Target="https://www.legis.iowa.gov/docs/ico/chapter/15.354.pdf" Type="http://schemas.openxmlformats.org/officeDocument/2006/relationships/hyperlink" Id="rId10"/>
    <Relationship TargetMode="External" Target="https://www.legis.iowa.gov/docs/ico/chapter/15.352.pdf" Type="http://schemas.openxmlformats.org/officeDocument/2006/relationships/hyperlink" Id="rId11"/>
    <Relationship TargetMode="External" Target="https://www.legis.iowa.gov/docs/ico/chapter/15.352.pdf" Type="http://schemas.openxmlformats.org/officeDocument/2006/relationships/hyperlink" Id="rId12"/>
    <Relationship TargetMode="External" Target="https://www.legis.iowa.gov/docs/ico/chapter/15.352.pdf" Type="http://schemas.openxmlformats.org/officeDocument/2006/relationships/hyperlink" Id="rId13"/>
    <Relationship TargetMode="External" Target="https://www.legis.iowa.gov/docs/ico/chapter/15.352.pdf" Type="http://schemas.openxmlformats.org/officeDocument/2006/relationships/hyperlink" Id="rId14"/>
    <Relationship TargetMode="External" Target="https://www.legis.iowa.gov/docs/ico/chapter/15.pdf" Type="http://schemas.openxmlformats.org/officeDocument/2006/relationships/hyperlink" Id="rId15"/>
    <Relationship TargetMode="External" Target="https://www.legis.iowa.gov/docs/ico/chapter/15.355.pdf" Type="http://schemas.openxmlformats.org/officeDocument/2006/relationships/hyperlink" Id="rId16"/>
    <Relationship TargetMode="External" Target="https://www.legis.iowa.gov/docs/ico/chapter/15.353.pdf" Type="http://schemas.openxmlformats.org/officeDocument/2006/relationships/hyperlink" Id="rId17"/>
    <Relationship TargetMode="External" Target="https://www.legis.iowa.gov/docs/ico/chapter/15.353.pdf" Type="http://schemas.openxmlformats.org/officeDocument/2006/relationships/hyperlink" Id="rId18"/>
    <Relationship TargetMode="External" Target="https://www.legis.iowa.gov/docs/ico/chapter/15.353.pdf" Type="http://schemas.openxmlformats.org/officeDocument/2006/relationships/hyperlink" Id="rId19"/>
    <Relationship TargetMode="External" Target="https://www.legis.iowa.gov/docs/ico/chapter/15.353.pdf" Type="http://schemas.openxmlformats.org/officeDocument/2006/relationships/hyperlink" Id="rId20"/>
    <Relationship TargetMode="External" Target="https://www.legis.iowa.gov/docs/ico/chapter/15.353.pdf" Type="http://schemas.openxmlformats.org/officeDocument/2006/relationships/hyperlink" Id="rId21"/>
    <Relationship TargetMode="External" Target="https://www.legis.iowa.gov/docs/ico/chapter/15.354.pdf" Type="http://schemas.openxmlformats.org/officeDocument/2006/relationships/hyperlink" Id="rId22"/>
    <Relationship TargetMode="External" Target="https://www.legis.iowa.gov/docs/ico/chapter/15.354.pdf" Type="http://schemas.openxmlformats.org/officeDocument/2006/relationships/hyperlink" Id="rId23"/>
    <Relationship TargetMode="External" Target="https://www.legis.iowa.gov/docs/ico/chapter/15.354.pdf" Type="http://schemas.openxmlformats.org/officeDocument/2006/relationships/hyperlink" Id="rId24"/>
    <Relationship TargetMode="External" Target="https://www.legis.iowa.gov/docs/ico/chapter/15.354.pdf" Type="http://schemas.openxmlformats.org/officeDocument/2006/relationships/hyperlink" Id="rId25"/>
    <Relationship TargetMode="External" Target="https://www.legis.iowa.gov/docs/ico/chapter/15.354.pdf" Type="http://schemas.openxmlformats.org/officeDocument/2006/relationships/hyperlink" Id="rId26"/>
    <Relationship TargetMode="External" Target="https://www.legis.iowa.gov/docs/ico/chapter/15.354.pdf" Type="http://schemas.openxmlformats.org/officeDocument/2006/relationships/hyperlink" Id="rId27"/>
    <Relationship TargetMode="External" Target="https://www.legis.iowa.gov/docs/ico/chapter/15.354.pdf" Type="http://schemas.openxmlformats.org/officeDocument/2006/relationships/hyperlink" Id="rId28"/>
    <Relationship TargetMode="External" Target="https://www.legis.iowa.gov/docs/ico/chapter/15.354.pdf" Type="http://schemas.openxmlformats.org/officeDocument/2006/relationships/hyperlink" Id="rId29"/>
    <Relationship TargetMode="External" Target="https://www.legis.iowa.gov/docs/ico/chapter/15.pdf" Type="http://schemas.openxmlformats.org/officeDocument/2006/relationships/hyperlink" Id="rId30"/>
    <Relationship TargetMode="External" Target="https://www.legis.iowa.gov/docs/ico/chapter/15.pdf" Type="http://schemas.openxmlformats.org/officeDocument/2006/relationships/hyperlink" Id="rId31"/>
    <Relationship TargetMode="External" Target="https://www.legis.iowa.gov/docs/iac/rule/261.48.3.pdf" Type="http://schemas.openxmlformats.org/officeDocument/2006/relationships/hyperlink" Id="rId32"/>
    <Relationship TargetMode="External" Target="https://www.legis.iowa.gov/docs/ico/chapter/15.355.pdf" Type="http://schemas.openxmlformats.org/officeDocument/2006/relationships/hyperlink" Id="rId33"/>
    <Relationship TargetMode="External" Target="https://www.legis.iowa.gov/docs/ico/chapter/15.355.pdf" Type="http://schemas.openxmlformats.org/officeDocument/2006/relationships/hyperlink" Id="rId34"/>
    <Relationship TargetMode="External" Target="https://www.legis.iowa.gov/docs/ico/chapter/15.355.pdf" Type="http://schemas.openxmlformats.org/officeDocument/2006/relationships/hyperlink" Id="rId35"/>
    <Relationship TargetMode="External" Target="https://www.legis.iowa.gov/docs/ico/chapter/15.354.pdf" Type="http://schemas.openxmlformats.org/officeDocument/2006/relationships/hyperlink" Id="rId36"/>
    <Relationship TargetMode="External" Target="https://www.legis.iowa.gov/docs/iac/rule/261.48.2.pdf" Type="http://schemas.openxmlformats.org/officeDocument/2006/relationships/hyperlink" Id="rId37"/>
    <Relationship TargetMode="External" Target="https://www.legis.iowa.gov/docs/ico/chapter/15.354.pdf" Type="http://schemas.openxmlformats.org/officeDocument/2006/relationships/hyperlink" Id="rId38"/>
    <Relationship TargetMode="External" Target="https://www.legis.iowa.gov/docs/ico/chapter/15.354.pdf" Type="http://schemas.openxmlformats.org/officeDocument/2006/relationships/hyperlink" Id="rId39"/>
    <Relationship TargetMode="External" Target="https://www.legis.iowa.gov/docs/ico/chapter/15.354.pdf" Type="http://schemas.openxmlformats.org/officeDocument/2006/relationships/hyperlink" Id="rId40"/>
    <Relationship TargetMode="External" Target="https://www.legis.iowa.gov/docs/ico/chapter/15.354.pdf" Type="http://schemas.openxmlformats.org/officeDocument/2006/relationships/hyperlink" Id="rId41"/>
    <Relationship TargetMode="External" Target="https://www.legis.iowa.gov/docs/ico/chapter/15.354.pdf" Type="http://schemas.openxmlformats.org/officeDocument/2006/relationships/hyperlink" Id="rId42"/>
    <Relationship TargetMode="External" Target="https://www.legis.iowa.gov/docs/ico/chapter/15.354.pdf" Type="http://schemas.openxmlformats.org/officeDocument/2006/relationships/hyperlink" Id="rId43"/>
    <Relationship TargetMode="External" Target="https://www.legis.iowa.gov/docs/ico/chapter/15.354.pdf" Type="http://schemas.openxmlformats.org/officeDocument/2006/relationships/hyperlink" Id="rId44"/>
    <Relationship TargetMode="External" Target="https://www.legis.iowa.gov/docs/iac/rule/261.48.3.pdf" Type="http://schemas.openxmlformats.org/officeDocument/2006/relationships/hyperlink" Id="rId45"/>
    <Relationship TargetMode="External" Target="https://www.legis.iowa.gov/docs/iac/rule/261.48.6.pdf" Type="http://schemas.openxmlformats.org/officeDocument/2006/relationships/hyperlink" Id="rId46"/>
    <Relationship TargetMode="External" Target="https://www.legis.iowa.gov/docs/ico/chapter/15.355.pdf" Type="http://schemas.openxmlformats.org/officeDocument/2006/relationships/hyperlink" Id="rId47"/>
    <Relationship TargetMode="External" Target="https://www.legis.iowa.gov/docs/ico/chapter/15.355.pdf" Type="http://schemas.openxmlformats.org/officeDocument/2006/relationships/hyperlink" Id="rId48"/>
    <Relationship TargetMode="External" Target="https://www.legis.iowa.gov/docs/ico/chapter/15.355.pdf" Type="http://schemas.openxmlformats.org/officeDocument/2006/relationships/hyperlink" Id="rId49"/>
    <Relationship TargetMode="External" Target="https://www.legis.iowa.gov/docs/ico/chapter/15.354.pdf" Type="http://schemas.openxmlformats.org/officeDocument/2006/relationships/hyperlink" Id="rId50"/>
    <Relationship TargetMode="External" Target="https://www.legis.iowa.gov/docs/ico/chapter/15.352.pdf" Type="http://schemas.openxmlformats.org/officeDocument/2006/relationships/hyperlink" Id="rId51"/>
    <Relationship TargetMode="External" Target="https://www.legis.iowa.gov/docs/ico/chapter/15.pdf" Type="http://schemas.openxmlformats.org/officeDocument/2006/relationships/hyperlink" Id="rId52"/>
    <Relationship Target="footer.xml" Type="http://schemas.openxmlformats.org/officeDocument/2006/relationships/footer"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