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9C" w:id="1"/>
    <w:p>
      <w:pPr>
        <w:spacing w:before="0" w:after="0" w:line="480"/>
        <w:ind w:left="120"/>
        <w:jc w:val="right"/>
      </w:pPr>
      <w:r>
        <w:rPr>
          <w:rFonts w:ascii="Times New Roman" w:hAnsi="Times New Roman"/>
          <w:b/>
          <w:i w:val="false"/>
          <w:color w:val="000000"/>
          <w:sz w:val="28"/>
        </w:rPr>
        <w:t>ARC 9829C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major events and tourism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adopt new Chapter 201, “Major Events and Tourism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15.106A and section 15G.103 as enacted by 2025 Iowa Acts, Senate File 660.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15G.101 through 15G.104 as enacted by 2025 Iowa Acts, Senate File 660.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Iowa Code sections 15G.101 through 15G.104 as enacted by 2025 Iowa Acts, Senate File 660, the Authority proposes to adopt Chapter 201. The chapter describes the policies and procedures applicable to the Iowa Major Events and Tourism Program. The program provides grants for expenditures associated with event bidding and selection. The chapter will set forth eligibility requirements, application procedures, and review processes for the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15,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4,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201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201</w:t>
      </w:r>
    </w:p>
    <w:p>
      <w:pPr>
        <w:spacing w:before="0" w:after="0" w:line="480"/>
        <w:ind w:left="120"/>
        <w:jc w:val="center"/>
      </w:pPr>
      <w:r>
        <w:rPr>
          <w:rFonts w:ascii="Times New Roman" w:hAnsi="Times New Roman"/>
          <w:b w:val="false"/>
          <w:i w:val="false"/>
          <w:color w:val="000000"/>
          <w:sz w:val="21"/>
        </w:rPr>
        <w:t>IOWA MAJOR EVENTS AND TOURISM PROGRAM</w:t>
      </w:r>
    </w:p>
    <w:p>
      <w:pPr>
        <w:spacing w:before="0" w:after="0" w:line="480"/>
        <w:ind w:left="120"/>
        <w:jc w:val="both"/>
      </w:pPr>
      <w:r>
        <w:rPr>
          <w:rFonts w:ascii="Times New Roman" w:hAnsi="Times New Roman"/>
          <w:b/>
          <w:i w:val="false"/>
          <w:color w:val="000000"/>
          <w:sz w:val="24"/>
        </w:rPr>
        <w:t>261—201.1</w:t>
      </w:r>
      <w:r>
        <w:rPr>
          <w:rFonts w:ascii="Times New Roman" w:hAnsi="Times New Roman"/>
          <w:b/>
          <w:i w:val="false"/>
          <w:color w:val="000000"/>
          <w:sz w:val="24"/>
        </w:rPr>
        <w:t xml:space="preserve">(15G)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 means an eligible entity that is applying for financial assistance through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Iowa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means the Iowa economic development authority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“Entity”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15G.101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“Event”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15G.101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assistance”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15G.101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“Matching funds” </w:t>
      </w:r>
      <w:r>
        <w:rPr>
          <w:rFonts w:ascii="Times New Roman" w:hAnsi="Times New Roman"/>
          <w:b w:val="false"/>
          <w:i w:val="false"/>
          <w:color w:val="000000"/>
          <w:sz w:val="24"/>
        </w:rPr>
        <w:t>means a cash contribution made by an entity applying for financial assistance. “Matching funds” does not include any in-kind noncash contributions.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Iowa major events and tourism program administered pursuant to this chapter and Iowa Code sections </w:t>
      </w:r>
      <w:hyperlink r:id="rId10">
        <w:r>
          <w:rPr>
            <w:rStyle w:val="Hyperlink"/>
            <w:rFonts w:ascii="Times New Roman" w:hAnsi="Times New Roman"/>
            <w:b w:val="false"/>
            <w:i w:val="false"/>
            <w:color w:val="000000"/>
            <w:sz w:val="24"/>
          </w:rPr>
          <w:t>15G.101 through 15G.104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“Recipient” </w:t>
      </w:r>
      <w:r>
        <w:rPr>
          <w:rFonts w:ascii="Times New Roman" w:hAnsi="Times New Roman"/>
          <w:b w:val="false"/>
          <w:i w:val="false"/>
          <w:color w:val="000000"/>
          <w:sz w:val="24"/>
        </w:rPr>
        <w:t>means an entity that has been awarded financial assistance.</w:t>
      </w:r>
    </w:p>
    <w:p>
      <w:pPr>
        <w:spacing w:before="0" w:after="0" w:line="480"/>
        <w:ind w:left="120"/>
        <w:jc w:val="both"/>
      </w:pPr>
      <w:r>
        <w:rPr>
          <w:rFonts w:ascii="Times New Roman" w:hAnsi="Times New Roman"/>
          <w:b/>
          <w:i w:val="false"/>
          <w:color w:val="000000"/>
          <w:sz w:val="24"/>
        </w:rPr>
        <w:t>261—201.2</w:t>
      </w:r>
      <w:r>
        <w:rPr>
          <w:rFonts w:ascii="Times New Roman" w:hAnsi="Times New Roman"/>
          <w:b/>
          <w:i w:val="false"/>
          <w:color w:val="000000"/>
          <w:sz w:val="24"/>
        </w:rPr>
        <w:t xml:space="preserve">(15G)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201.2(1)</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eligibility criteria in Iowa Code section </w:t>
      </w:r>
      <w:hyperlink r:id="rId11">
        <w:r>
          <w:rPr>
            <w:rStyle w:val="Hyperlink"/>
            <w:rFonts w:ascii="Times New Roman" w:hAnsi="Times New Roman"/>
            <w:b w:val="false"/>
            <w:i w:val="false"/>
            <w:color w:val="000000"/>
            <w:sz w:val="24"/>
          </w:rPr>
          <w:t>15G.103(2)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an event must meet the following criteria to be eligible for financial assistance under the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event must be an event that has not previously been held in Iowa or has a quality or qualities that substantially distinguish the event from other events that have been held or could be held in the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event must be a ticketed event or require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event will generate significant attendance from an out-of-state audience.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event is or will be held no more frequently than one time annually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hosting rights for the event were not secured by the entity applying for financial assistance before July 1, 2025.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201.2(2)</w:t>
      </w:r>
      <w:r>
        <w:rPr>
          <w:rFonts w:ascii="Times New Roman" w:hAnsi="Times New Roman"/>
          <w:b w:val="false"/>
          <w:i w:val="false"/>
          <w:color w:val="000000"/>
          <w:sz w:val="24"/>
        </w:rPr>
        <w:t> </w:t>
      </w:r>
      <w:r>
        <w:rPr>
          <w:rFonts w:ascii="Times New Roman" w:hAnsi="Times New Roman"/>
          <w:b w:val="false"/>
          <w:i w:val="false"/>
          <w:color w:val="000000"/>
          <w:sz w:val="24"/>
        </w:rPr>
        <w:t>To determine whether an event is a tourism-oriented athletic contest, convention, music festival, or art festival for the purposes of the program, the authority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event encourages overnight stays.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event contributes to the vitality of the host region’s tourism and economic development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the marketing plan for the event targets an audience from more than 50 miles away from the event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Whether the event elevates the profile of the state as a destination and encourages other events to seek Iowa communities as a host.</w:t>
      </w:r>
    </w:p>
    <w:p>
      <w:pPr>
        <w:spacing w:before="210" w:after="0" w:line="480"/>
        <w:ind w:left="120"/>
        <w:jc w:val="both"/>
      </w:pPr>
      <w:r>
        <w:rPr>
          <w:rFonts w:ascii="Times New Roman" w:hAnsi="Times New Roman"/>
          <w:b/>
          <w:i w:val="false"/>
          <w:color w:val="000000"/>
          <w:sz w:val="24"/>
        </w:rPr>
        <w:t>261—201.3</w:t>
      </w:r>
      <w:r>
        <w:rPr>
          <w:rFonts w:ascii="Times New Roman" w:hAnsi="Times New Roman"/>
          <w:b/>
          <w:i w:val="false"/>
          <w:color w:val="000000"/>
          <w:sz w:val="24"/>
        </w:rPr>
        <w:t xml:space="preserve">(15G) </w:t>
      </w:r>
      <w:r>
        <w:rPr>
          <w:rFonts w:ascii="Times New Roman" w:hAnsi="Times New Roman"/>
          <w:b/>
          <w:i w:val="false"/>
          <w:color w:val="000000"/>
          <w:sz w:val="24"/>
        </w:rPr>
        <w:t xml:space="preserve">Preapplication. </w:t>
      </w:r>
      <w:r>
        <w:rPr>
          <w:rFonts w:ascii="Times New Roman" w:hAnsi="Times New Roman"/>
          <w:b w:val="false"/>
          <w:i w:val="false"/>
          <w:color w:val="000000"/>
          <w:sz w:val="24"/>
        </w:rPr>
        <w:t xml:space="preserve">Entities interested in applying for financial assistance shall submit a preapplication to the authority in the form and content prescribed by the authority. The preapplication will be evaluated by staff for eligibility based on the criteria in Iowa Code section </w:t>
      </w:r>
      <w:hyperlink r:id="rId12">
        <w:r>
          <w:rPr>
            <w:rStyle w:val="Hyperlink"/>
            <w:rFonts w:ascii="Times New Roman" w:hAnsi="Times New Roman"/>
            <w:b w:val="false"/>
            <w:i w:val="false"/>
            <w:color w:val="000000"/>
            <w:sz w:val="24"/>
          </w:rPr>
          <w:t>15G.103(2)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and rule </w:t>
      </w:r>
      <w:hyperlink r:id="rId13">
        <w:r>
          <w:rPr>
            <w:rStyle w:val="Hyperlink"/>
            <w:rFonts w:ascii="Times New Roman" w:hAnsi="Times New Roman"/>
            <w:b w:val="false"/>
            <w:i w:val="false"/>
            <w:color w:val="000000"/>
            <w:sz w:val="24"/>
          </w:rPr>
          <w:t>261—201.2(15G)</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261—201.4</w:t>
      </w:r>
      <w:r>
        <w:rPr>
          <w:rFonts w:ascii="Times New Roman" w:hAnsi="Times New Roman"/>
          <w:b/>
          <w:i w:val="false"/>
          <w:color w:val="000000"/>
          <w:sz w:val="24"/>
        </w:rPr>
        <w:t xml:space="preserve">(15G)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201.4(1)</w:t>
      </w:r>
      <w:r>
        <w:rPr>
          <w:rFonts w:ascii="Times New Roman" w:hAnsi="Times New Roman"/>
          <w:b w:val="false"/>
          <w:i w:val="false"/>
          <w:color w:val="000000"/>
          <w:sz w:val="24"/>
        </w:rPr>
        <w:t> </w:t>
      </w:r>
      <w:r>
        <w:rPr>
          <w:rFonts w:ascii="Times New Roman" w:hAnsi="Times New Roman"/>
          <w:b w:val="false"/>
          <w:i w:val="false"/>
          <w:color w:val="000000"/>
          <w:sz w:val="24"/>
        </w:rPr>
        <w:t xml:space="preserve">Entities that are invited to apply for the program based on their preapplication and staff review conducted pursuant to rule </w:t>
      </w:r>
      <w:hyperlink r:id="rId14">
        <w:r>
          <w:rPr>
            <w:rStyle w:val="Hyperlink"/>
            <w:rFonts w:ascii="Times New Roman" w:hAnsi="Times New Roman"/>
            <w:b w:val="false"/>
            <w:i w:val="false"/>
            <w:color w:val="000000"/>
            <w:sz w:val="24"/>
          </w:rPr>
          <w:t>261—201.3</w:t>
        </w:r>
      </w:hyperlink>
      <w:r>
        <w:rPr>
          <w:rFonts w:ascii="Times New Roman" w:hAnsi="Times New Roman"/>
          <w:b w:val="false"/>
          <w:i w:val="false"/>
          <w:color w:val="000000"/>
          <w:sz w:val="24"/>
        </w:rPr>
        <w:t>(15G) shall submit an application to the authority in the form and content prescribed by the authority. The application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economic analysis that meets the requirements in Iowa Code section </w:t>
      </w:r>
      <w:hyperlink r:id="rId15">
        <w:r>
          <w:rPr>
            <w:rStyle w:val="Hyperlink"/>
            <w:rFonts w:ascii="Times New Roman" w:hAnsi="Times New Roman"/>
            <w:b w:val="false"/>
            <w:i w:val="false"/>
            <w:color w:val="000000"/>
            <w:sz w:val="24"/>
          </w:rPr>
          <w:t>15G.103(2)</w:t>
        </w:r>
      </w:hyperlink>
      <w:r>
        <w:rPr>
          <w:rFonts w:ascii="Times New Roman" w:hAnsi="Times New Roman"/>
          <w:b w:val="false"/>
          <w:i/>
          <w:color w:val="000000"/>
          <w:sz w:val="24"/>
        </w:rPr>
        <w:t>“a”</w:t>
      </w:r>
      <w:r>
        <w:rPr>
          <w:rFonts w:ascii="Times New Roman" w:hAnsi="Times New Roman"/>
          <w:b w:val="false"/>
          <w:i w:val="false"/>
          <w:color w:val="000000"/>
          <w:sz w:val="24"/>
        </w:rPr>
        <w:t xml:space="preserve">(2)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marketing plan for the event that demonstrates to the satisfaction of the authority that the entity has the capacity and expertise to market the event appropriately.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the entity’s nonprofit status and documentation that the entity is established to promote economic development and tourism in an area.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request for proposals or other comparable documents that the entity has responded to or will respond to in order to secure the event.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the entity’s ability to provide matching funds as required by Iowa Code section </w:t>
      </w:r>
      <w:hyperlink r:id="rId16">
        <w:r>
          <w:rPr>
            <w:rStyle w:val="Hyperlink"/>
            <w:rFonts w:ascii="Times New Roman" w:hAnsi="Times New Roman"/>
            <w:b w:val="false"/>
            <w:i w:val="false"/>
            <w:color w:val="000000"/>
            <w:sz w:val="24"/>
          </w:rPr>
          <w:t>15G.103(4)</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the expenditures required as part of the entity’s bid for the event.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201.4(2)</w:t>
      </w:r>
      <w:r>
        <w:rPr>
          <w:rFonts w:ascii="Times New Roman" w:hAnsi="Times New Roman"/>
          <w:b w:val="false"/>
          <w:i w:val="false"/>
          <w:color w:val="000000"/>
          <w:sz w:val="24"/>
        </w:rPr>
        <w:t> </w:t>
      </w:r>
      <w:r>
        <w:rPr>
          <w:rFonts w:ascii="Times New Roman" w:hAnsi="Times New Roman"/>
          <w:b w:val="false"/>
          <w:i w:val="false"/>
          <w:color w:val="000000"/>
          <w:sz w:val="24"/>
        </w:rPr>
        <w:t>An application must be for a minimum request of $200,000.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201.4(3)</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shall submit only one application for the program per bid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201.4(4)</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Authority staff will evaluate each application based on the criteria identified in Iowa Code section </w:t>
      </w:r>
      <w:hyperlink r:id="rId17">
        <w:r>
          <w:rPr>
            <w:rStyle w:val="Hyperlink"/>
            <w:rFonts w:ascii="Times New Roman" w:hAnsi="Times New Roman"/>
            <w:b w:val="false"/>
            <w:i w:val="false"/>
            <w:color w:val="000000"/>
            <w:sz w:val="24"/>
          </w:rPr>
          <w:t>15G.103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and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event would be new to Iowa or has been held in Iowa within the previous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receipt of financial assistance will be necessary for a successful bid or selection.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201.4(5)</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staff evaluation, eligible applications will be forwarded to the board for its final funding decision.  </w:t>
      </w:r>
    </w:p>
    <w:p>
      <w:pPr>
        <w:spacing w:before="0" w:after="0" w:line="480"/>
        <w:ind w:left="120"/>
        <w:jc w:val="both"/>
      </w:pPr>
      <w:r>
        <w:rPr>
          <w:rFonts w:ascii="Times New Roman" w:hAnsi="Times New Roman"/>
          <w:b/>
          <w:i w:val="false"/>
          <w:color w:val="000000"/>
          <w:sz w:val="24"/>
        </w:rPr>
        <w:t>261—201.5</w:t>
      </w:r>
      <w:r>
        <w:rPr>
          <w:rFonts w:ascii="Times New Roman" w:hAnsi="Times New Roman"/>
          <w:b/>
          <w:i w:val="false"/>
          <w:color w:val="000000"/>
          <w:sz w:val="24"/>
        </w:rPr>
        <w:t xml:space="preserve">(15G) </w:t>
      </w:r>
      <w:r>
        <w:rPr>
          <w:rFonts w:ascii="Times New Roman" w:hAnsi="Times New Roman"/>
          <w:b/>
          <w:i w:val="false"/>
          <w:color w:val="000000"/>
          <w:sz w:val="24"/>
        </w:rPr>
        <w:t xml:space="preserve">Eligible expenses.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201.5(1)</w:t>
      </w:r>
      <w:r>
        <w:rPr>
          <w:rFonts w:ascii="Times New Roman" w:hAnsi="Times New Roman"/>
          <w:b w:val="false"/>
          <w:i w:val="false"/>
          <w:color w:val="000000"/>
          <w:sz w:val="24"/>
        </w:rPr>
        <w:t> </w:t>
      </w:r>
      <w:r>
        <w:rPr>
          <w:rFonts w:ascii="Times New Roman" w:hAnsi="Times New Roman"/>
          <w:b w:val="false"/>
          <w:i w:val="false"/>
          <w:color w:val="000000"/>
          <w:sz w:val="24"/>
        </w:rPr>
        <w:t xml:space="preserve">Expenditures identified in Iowa Code section </w:t>
      </w:r>
      <w:hyperlink r:id="rId18">
        <w:r>
          <w:rPr>
            <w:rStyle w:val="Hyperlink"/>
            <w:rFonts w:ascii="Times New Roman" w:hAnsi="Times New Roman"/>
            <w:b w:val="false"/>
            <w:i w:val="false"/>
            <w:color w:val="000000"/>
            <w:sz w:val="24"/>
          </w:rPr>
          <w:t>15G.102(2)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that are required as part of the entity’s bid for an event are eligible for financial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201.5(2)</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for expenditures not directly related to the bidding and selection process are ineligible for reimbursement, including but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Costs of developing or making permanent improvements to facilities, payroll or operating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Costs otherwise eligible but associated with a recipient-owned or recipient-controlled venue or asset.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Items that are purchased for resale.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item not required as part of the entity’s bid for an event.</w:t>
      </w:r>
    </w:p>
    <w:p>
      <w:pPr>
        <w:spacing w:before="0" w:after="0" w:line="480"/>
        <w:ind w:left="120"/>
        <w:jc w:val="both"/>
      </w:pPr>
      <w:r>
        <w:rPr>
          <w:rFonts w:ascii="Times New Roman" w:hAnsi="Times New Roman"/>
          <w:b/>
          <w:i w:val="false"/>
          <w:color w:val="000000"/>
          <w:sz w:val="24"/>
        </w:rPr>
        <w:t>261—201.6</w:t>
      </w:r>
      <w:r>
        <w:rPr>
          <w:rFonts w:ascii="Times New Roman" w:hAnsi="Times New Roman"/>
          <w:b/>
          <w:i w:val="false"/>
          <w:color w:val="000000"/>
          <w:sz w:val="24"/>
        </w:rPr>
        <w:t xml:space="preserve">(15G)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authority will notify successful applicants in writing of their approved application for financial assistance and prepare an agreement that reflects the terms of the financial assistance. The recipient must execute and return the agreement to the authority within 60 days of the transmittal of the final agreement from the authority. Failure to do so may result in termination of the financial assistance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201.6(2)</w:t>
      </w:r>
      <w:r>
        <w:rPr>
          <w:rFonts w:ascii="Times New Roman" w:hAnsi="Times New Roman"/>
          <w:b w:val="false"/>
          <w:i w:val="false"/>
          <w:color w:val="000000"/>
          <w:sz w:val="24"/>
        </w:rPr>
        <w:t> </w:t>
      </w:r>
      <w:r>
        <w:rPr>
          <w:rFonts w:ascii="Times New Roman" w:hAnsi="Times New Roman"/>
          <w:b w:val="false"/>
          <w:i/>
          <w:color w:val="000000"/>
          <w:sz w:val="24"/>
        </w:rPr>
        <w:t xml:space="preserve">Disbursement. </w:t>
      </w:r>
      <w:r>
        <w:rPr>
          <w:rFonts w:ascii="Times New Roman" w:hAnsi="Times New Roman"/>
          <w:b w:val="false"/>
          <w:i w:val="false"/>
          <w:color w:val="000000"/>
          <w:sz w:val="24"/>
        </w:rPr>
        <w:t xml:space="preserve">Financial assistance will be disbursed on a reimbursement basis. The authority will establish the frequency and amounts available for disbursement in the agreement entered pursuant to subrule </w:t>
      </w:r>
      <w:hyperlink r:id="rId19">
        <w:r>
          <w:rPr>
            <w:rStyle w:val="Hyperlink"/>
            <w:rFonts w:ascii="Times New Roman" w:hAnsi="Times New Roman"/>
            <w:b w:val="false"/>
            <w:i w:val="false"/>
            <w:color w:val="000000"/>
            <w:sz w:val="24"/>
          </w:rPr>
          <w:t>201.6(1)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201.6(3)</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recipient shall submit an annual report that includes information about the status of the event and any information required by Iowa Code section </w:t>
      </w:r>
      <w:hyperlink r:id="rId20">
        <w:r>
          <w:rPr>
            <w:rStyle w:val="Hyperlink"/>
            <w:rFonts w:ascii="Times New Roman" w:hAnsi="Times New Roman"/>
            <w:b w:val="false"/>
            <w:i w:val="false"/>
            <w:color w:val="000000"/>
            <w:sz w:val="24"/>
          </w:rPr>
          <w:t>8.57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recipient shall submit information reasonably required by the authority to make reports to the authority’s board, the governor’s office, or the general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201.6(4)</w:t>
      </w:r>
      <w:r>
        <w:rPr>
          <w:rFonts w:ascii="Times New Roman" w:hAnsi="Times New Roman"/>
          <w:b w:val="false"/>
          <w:i w:val="false"/>
          <w:color w:val="000000"/>
          <w:sz w:val="24"/>
        </w:rPr>
        <w:t> </w:t>
      </w:r>
      <w:r>
        <w:rPr>
          <w:rFonts w:ascii="Times New Roman" w:hAnsi="Times New Roman"/>
          <w:b w:val="false"/>
          <w:i/>
          <w:color w:val="000000"/>
          <w:sz w:val="24"/>
        </w:rPr>
        <w:t xml:space="preserve">Remedies for noncompliance. </w:t>
      </w:r>
      <w:r>
        <w:rPr>
          <w:rFonts w:ascii="Times New Roman" w:hAnsi="Times New Roman"/>
          <w:b w:val="false"/>
          <w:i w:val="false"/>
          <w:color w:val="000000"/>
          <w:sz w:val="24"/>
        </w:rPr>
        <w:t>If the authority finds that a recipient is not in compliance with program requirements or the terms and conditions of the agreement, the authority may employ any remedies it deems appropriate,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Issue a warning letter stating that continued failure to comply with program requirements within a stated period of time will result in a more serious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Condition future financial assistance on correcting compliance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 that some or all of the financial assistance be remitted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 not to provide future financial assistance to the recipient until appropriate actions are taken to ensure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Prohibit future awards of financial assistance.</w:t>
      </w:r>
    </w:p>
    <w:p>
      <w:pPr>
        <w:spacing w:before="0" w:after="0" w:line="480"/>
        <w:ind w:left="120"/>
        <w:jc w:val="left"/>
      </w:pPr>
      <w:r>
        <w:rPr>
          <w:rFonts w:ascii="Times New Roman" w:hAnsi="Times New Roman"/>
          <w:b w:val="false"/>
          <w:i w:val="false"/>
          <w:color w:val="000000"/>
          <w:sz w:val="24"/>
        </w:rPr>
        <w:t xml:space="preserve">These rules are intended to implement Iowa Code sections </w:t>
      </w:r>
      <w:hyperlink r:id="rId21">
        <w:r>
          <w:rPr>
            <w:rStyle w:val="Hyperlink"/>
            <w:rFonts w:ascii="Times New Roman" w:hAnsi="Times New Roman"/>
            <w:b w:val="false"/>
            <w:i w:val="false"/>
            <w:color w:val="000000"/>
            <w:sz w:val="24"/>
          </w:rPr>
          <w:t>15G.101</w:t>
        </w:r>
      </w:hyperlink>
      <w:r>
        <w:rPr>
          <w:rFonts w:ascii="Times New Roman" w:hAnsi="Times New Roman"/>
          <w:b w:val="false"/>
          <w:i w:val="false"/>
          <w:color w:val="000000"/>
          <w:sz w:val="24"/>
        </w:rPr>
        <w:t xml:space="preserve"> through </w:t>
      </w:r>
      <w:hyperlink r:id="rId22">
        <w:r>
          <w:rPr>
            <w:rStyle w:val="Hyperlink"/>
            <w:rFonts w:ascii="Times New Roman" w:hAnsi="Times New Roman"/>
            <w:b w:val="false"/>
            <w:i w:val="false"/>
            <w:color w:val="000000"/>
            <w:sz w:val="24"/>
          </w:rPr>
          <w:t>15G.104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G.101.pdf" Type="http://schemas.openxmlformats.org/officeDocument/2006/relationships/hyperlink" Id="rId7"/>
    <Relationship TargetMode="External" Target="https://www.legis.iowa.gov/docs/ico/chapter/15G.101.pdf" Type="http://schemas.openxmlformats.org/officeDocument/2006/relationships/hyperlink" Id="rId8"/>
    <Relationship TargetMode="External" Target="https://www.legis.iowa.gov/docs/ico/chapter/15G.101.pdf" Type="http://schemas.openxmlformats.org/officeDocument/2006/relationships/hyperlink" Id="rId9"/>
    <Relationship TargetMode="External" Target="https://www.legis.iowa.gov/docs/ico/chapter/15G.101-104.pdf" Type="http://schemas.openxmlformats.org/officeDocument/2006/relationships/hyperlink" Id="rId10"/>
    <Relationship TargetMode="External" Target="https://www.legis.iowa.gov/docs/ico/chapter/15G.103.pdf" Type="http://schemas.openxmlformats.org/officeDocument/2006/relationships/hyperlink" Id="rId11"/>
    <Relationship TargetMode="External" Target="https://www.legis.iowa.gov/docs/ico/chapter/15G.103.pdf" Type="http://schemas.openxmlformats.org/officeDocument/2006/relationships/hyperlink" Id="rId12"/>
    <Relationship TargetMode="External" Target="https://www.legis.iowa.gov/docs/iac/rule/261.201.2.pdf" Type="http://schemas.openxmlformats.org/officeDocument/2006/relationships/hyperlink" Id="rId13"/>
    <Relationship TargetMode="External" Target="https://www.legis.iowa.gov/docs/iac/rule/261.201.3.pdf" Type="http://schemas.openxmlformats.org/officeDocument/2006/relationships/hyperlink" Id="rId14"/>
    <Relationship TargetMode="External" Target="https://www.legis.iowa.gov/docs/ico/chapter/15G.103.pdf" Type="http://schemas.openxmlformats.org/officeDocument/2006/relationships/hyperlink" Id="rId15"/>
    <Relationship TargetMode="External" Target="https://www.legis.iowa.gov/docs/ico/chapter/15G.103.pdf" Type="http://schemas.openxmlformats.org/officeDocument/2006/relationships/hyperlink" Id="rId16"/>
    <Relationship TargetMode="External" Target="https://www.legis.iowa.gov/docs/ico/chapter/15G.103.pdf" Type="http://schemas.openxmlformats.org/officeDocument/2006/relationships/hyperlink" Id="rId17"/>
    <Relationship TargetMode="External" Target="https://www.legis.iowa.gov/docs/ico/chapter/15G.102.pdf" Type="http://schemas.openxmlformats.org/officeDocument/2006/relationships/hyperlink" Id="rId18"/>
    <Relationship TargetMode="External" Target="https://www.legis.iowa.gov/docs/iac/rule/261.201.6.pdf" Type="http://schemas.openxmlformats.org/officeDocument/2006/relationships/hyperlink" Id="rId19"/>
    <Relationship TargetMode="External" Target="https://www.legis.iowa.gov/docs/ico/chapter/8.57.pdf" Type="http://schemas.openxmlformats.org/officeDocument/2006/relationships/hyperlink" Id="rId20"/>
    <Relationship TargetMode="External" Target="https://www.legis.iowa.gov/docs/ico/chapter/15G.101.pdf" Type="http://schemas.openxmlformats.org/officeDocument/2006/relationships/hyperlink" Id="rId21"/>
    <Relationship TargetMode="External" Target="https://www.legis.iowa.gov/docs/ico/chapter/15G.104.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