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03C" w:id="1"/>
    <w:p>
      <w:pPr>
        <w:spacing w:before="0" w:after="0" w:line="480"/>
        <w:ind w:left="120"/>
        <w:jc w:val="right"/>
      </w:pPr>
      <w:r>
        <w:rPr>
          <w:rFonts w:ascii="Times New Roman" w:hAnsi="Times New Roman"/>
          <w:b/>
          <w:i w:val="false"/>
          <w:color w:val="000000"/>
          <w:sz w:val="28"/>
        </w:rPr>
        <w:t>ARC 9803C</w:t>
      </w:r>
    </w:p>
    <w:bookmarkEnd w:id="1"/>
    <w:p>
      <w:pPr>
        <w:pBdr>
          <w:top w:space="5"/>
        </w:pBdr>
        <w:spacing w:before="0" w:after="0" w:line="480"/>
        <w:ind w:left="120"/>
        <w:jc w:val="center"/>
      </w:pPr>
      <w:r>
        <w:rPr>
          <w:rFonts w:ascii="Times New Roman" w:hAnsi="Times New Roman"/>
          <w:b/>
          <w:i w:val="false"/>
          <w:color w:val="000000"/>
          <w:sz w:val="28"/>
        </w:rPr>
        <w:t>RACING AND GAMING COMMISSION[491]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organization and operation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Racing and Gaming Commission hereby proposes to amend Chapter 1, “Organization and Operation,”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99D.7 and 99F.4.</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99D and 99F.</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increases the required fees for a racing, gambling structure, or excursion gambling boat license application to coincide with actual costs incurred by the Commission during the application process.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October 1,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October 21, 2025</w:t>
      </w:r>
    </w:p>
    <w:p>
      <w:pPr>
        <w:spacing w:before="0" w:after="0" w:line="480"/>
        <w:ind w:left="120"/>
        <w:jc w:val="both"/>
      </w:pPr>
      <w:r>
        <w:rPr>
          <w:rFonts w:ascii="Times New Roman" w:hAnsi="Times New Roman"/>
          <w:b w:val="false"/>
          <w:i w:val="false"/>
          <w:color w:val="000000"/>
          <w:sz w:val="24"/>
        </w:rPr>
        <w:t>A representative of the Iowa Gaming Association attended the hearing and spoke in support of this amendment.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Commission for a waiver of the discretionary provisions, if any, pursuant to 491—Chapter 1.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Commission no later than 4:30 p.m. on January 13,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43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Barb Blake </w:t>
            </w:r>
            <w:r>
              <w:br/>
            </w:r>
            <w:r>
              <w:rPr>
                <w:rFonts w:ascii="Times New Roman" w:hAnsi="Times New Roman"/>
                <w:b w:val="false"/>
                <w:i w:val="false"/>
                <w:color w:val="000000"/>
                <w:sz w:val="18"/>
              </w:rPr>
              <w:t>Iowa Racing and Gaming Commission</w:t>
            </w:r>
            <w:r>
              <w:br/>
            </w:r>
            <w:r>
              <w:rPr>
                <w:rFonts w:ascii="Times New Roman" w:hAnsi="Times New Roman"/>
                <w:b w:val="false"/>
                <w:i w:val="false"/>
                <w:color w:val="000000"/>
                <w:sz w:val="18"/>
              </w:rPr>
              <w:t>6200 Park Avenue, Suite 100</w:t>
            </w:r>
            <w:r>
              <w:br/>
            </w:r>
            <w:r>
              <w:rPr>
                <w:rFonts w:ascii="Times New Roman" w:hAnsi="Times New Roman"/>
                <w:b w:val="false"/>
                <w:i w:val="false"/>
                <w:color w:val="000000"/>
                <w:sz w:val="18"/>
              </w:rPr>
              <w:t>Des Moines, Iowa 50321</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barb.blake@iowa.gov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4191"/>
        <w:gridCol w:w="6999"/>
      </w:tblGrid>
      <w:tr>
        <w:trPr>
          <w:trHeight w:val="1740" w:hRule="atLeast"/>
        </w:trPr>
        <w:tc>
          <w:tcPr>
            <w:tcW w:w="419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January 13, 2026</w:t>
            </w:r>
            <w:r>
              <w:br/>
            </w:r>
            <w:r>
              <w:rPr>
                <w:rFonts w:ascii="Times New Roman" w:hAnsi="Times New Roman"/>
                <w:b w:val="false"/>
                <w:i w:val="false"/>
                <w:color w:val="000000"/>
                <w:sz w:val="18"/>
              </w:rPr>
              <w:t xml:space="preserve"> 9 a.m.</w:t>
            </w:r>
          </w:p>
        </w:tc>
        <w:tc>
          <w:tcPr>
            <w:tcW w:w="699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Commission Office</w:t>
            </w:r>
            <w:r>
              <w:br/>
            </w:r>
            <w:r>
              <w:rPr>
                <w:rFonts w:ascii="Times New Roman" w:hAnsi="Times New Roman"/>
                <w:b w:val="false"/>
                <w:i w:val="false"/>
                <w:color w:val="000000"/>
                <w:sz w:val="18"/>
              </w:rPr>
              <w:t xml:space="preserve"> 6200 Park Avenue, Suite 100</w:t>
            </w:r>
            <w:r>
              <w:br/>
            </w:r>
            <w:r>
              <w:rPr>
                <w:rFonts w:ascii="Times New Roman" w:hAnsi="Times New Roman"/>
                <w:b w:val="false"/>
                <w:i w:val="false"/>
                <w:color w:val="000000"/>
                <w:sz w:val="18"/>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Commission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1.5(1)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1.5(1)</w:t>
      </w:r>
      <w:r>
        <w:rPr>
          <w:rFonts w:ascii="Times New Roman" w:hAnsi="Times New Roman"/>
          <w:b w:val="false"/>
          <w:i w:val="false"/>
          <w:color w:val="000000"/>
          <w:sz w:val="24"/>
        </w:rPr>
        <w:t> </w:t>
      </w:r>
      <w:r>
        <w:rPr>
          <w:rFonts w:ascii="Times New Roman" w:hAnsi="Times New Roman"/>
          <w:b w:val="false"/>
          <w:i/>
          <w:color w:val="000000"/>
          <w:sz w:val="24"/>
        </w:rPr>
        <w:t xml:space="preserve">Racing, gambling structure, or excursion gambling boat license application. </w:t>
      </w:r>
      <w:r>
        <w:rPr>
          <w:rFonts w:ascii="Times New Roman" w:hAnsi="Times New Roman"/>
          <w:b w:val="false"/>
          <w:i w:val="false"/>
          <w:color w:val="000000"/>
          <w:sz w:val="24"/>
        </w:rPr>
        <w:t xml:space="preserve">This form </w:t>
      </w:r>
      <w:r>
        <w:rPr>
          <w:rFonts w:ascii="Times New Roman" w:hAnsi="Times New Roman"/>
          <w:b w:val="false"/>
          <w:i w:val="false"/>
          <w:strike/>
          <w:color w:val="000000"/>
          <w:sz w:val="24"/>
        </w:rPr>
        <w:t>shall contain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contains</w:t>
      </w:r>
      <w:r>
        <w:rPr>
          <w:rFonts w:ascii="Times New Roman" w:hAnsi="Times New Roman"/>
          <w:b w:val="false"/>
          <w:i w:val="false"/>
          <w:color w:val="000000"/>
          <w:sz w:val="24"/>
        </w:rPr>
        <w:t xml:space="preserve"> at a minimum the full name of the applicant, all ownership interests, balance sheets and profit-and-loss statements for three fiscal years immediately preceding the application, pending legal action, location and physical plant of the facility, and description of proposed operation. The form may include other information the commission deems necessary to make a decision on the license application. The </w:t>
      </w:r>
      <w:r>
        <w:rPr>
          <w:rFonts w:ascii="Times New Roman" w:hAnsi="Times New Roman"/>
          <w:b w:val="false"/>
          <w:i w:val="false"/>
          <w:strike/>
          <w:color w:val="000000"/>
          <w:sz w:val="24"/>
        </w:rPr>
        <w:t>qualified nonprofit corporation and the boat operator, if different than the qualified nonprofit corporation, shall pay a nonrefundable application fee in the amount of $25,000 to offset the commission’s cost for processing the application. Additionally, the applicant shall remit an investigative fee of $30,000 to the department of public safety to do background investigations as required by the commission. The department of public safety shall bill the applicant/licensee for additional fees as appropriate and refund any unused portion of the investigative fee within 90 days after the denial or operation begins.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applicant or applicants also pay or remit the following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a.</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 initial application fee in the amount of $250,000 to the commission to cover the commission’s actual expenses incurred in processing and evaluating the application. Actual expenses may include but are not limited to the cost of appropriate meeting spaces, facilities, and equipment; transportation, lodging, meals, and other travel-related expenses; market feasibility studies the commission conducts; or consultants the commission retains. The commission will bill the applicant or licensee for additional expenses beyond the initial application fee as appropriate and will refund any unused portion of the fee within 90 days after the license is denied or within 90 days after operation begins.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b.</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 investigative fee of $50,000 to the department of public safety to complete background investigations. The department of public safety will bill the applicant or licensee for additional fees as appropriate and will refund any unused portion of the investigative fee within 90 days after the license is denied or within 90 days after operation begins.</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barb.blake@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