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91D" w:id="1"/>
    <w:p>
      <w:pPr>
        <w:spacing w:before="0" w:after="0" w:line="480"/>
        <w:ind w:left="120"/>
        <w:jc w:val="right"/>
      </w:pPr>
      <w:r>
        <w:rPr>
          <w:rFonts w:ascii="Times New Roman" w:hAnsi="Times New Roman"/>
          <w:b/>
          <w:i w:val="false"/>
          <w:color w:val="000000"/>
          <w:sz w:val="28"/>
        </w:rPr>
        <w:t>ARC 0691D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child development homes and child care homes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110, “Child Development Homes,” and adopts a new Chapter 10, “Child Development Homes and Child Care Homes with a Child Care Assistance Provider Agreement,”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237A and section 234.6.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237A and section 234.6.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was reviewed pursuant to Executive Order 10. During that review, it was determined that because there are many similarities between registered child development homes and child care homes with a child care provider agreement, the rules in 441—Chapter 120 could be integrated into Chapter 110, with specific rules for each category of child care home. By combining these rules into one chapter, the Department removed duplicative content and organized the new chapter in a way that the public can still find the information based on the type of child care home in question. This chapter establishes registration procedures for child development homes. Included are application and renewal procedures, standards for providers, and procedures for compliance checks and complaint investigations. The chapter also establishes procedures for child care homes that have a child care assistance provider agreement to receive child care assistance funds.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September 2, 2026, as </w:t>
      </w:r>
      <w:r>
        <w:rPr>
          <w:rFonts w:ascii="Times New Roman" w:hAnsi="Times New Roman"/>
          <w:b/>
          <w:i w:val="false"/>
          <w:color w:val="000000"/>
          <w:sz w:val="24"/>
        </w:rPr>
        <w:t>ARC 0540D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23, 2026</w:t>
      </w:r>
    </w:p>
    <w:p>
      <w:pPr>
        <w:spacing w:before="0" w:after="0" w:line="480"/>
        <w:ind w:left="120"/>
        <w:jc w:val="both"/>
      </w:pPr>
      <w:r>
        <w:rPr>
          <w:rFonts w:ascii="Times New Roman" w:hAnsi="Times New Roman"/>
          <w:b w:val="false"/>
          <w:i w:val="false"/>
          <w:color w:val="000000"/>
          <w:sz w:val="24"/>
        </w:rPr>
        <w:t>    No one attended the public hearings.</w:t>
      </w:r>
    </w:p>
    <w:p>
      <w:pPr>
        <w:spacing w:before="0" w:after="0" w:line="480"/>
        <w:ind w:left="120"/>
        <w:jc w:val="both"/>
      </w:pPr>
      <w:r>
        <w:rPr>
          <w:rFonts w:ascii="Times New Roman" w:hAnsi="Times New Roman"/>
          <w:b w:val="false"/>
          <w:i w:val="false"/>
          <w:color w:val="000000"/>
          <w:sz w:val="24"/>
        </w:rPr>
        <w:t>    Public comments were received from the Health and Safety Institute (HSI). HSI is the successor organization to the American Safety and Health Institute and MEDIC First Aid. As such, HSI requested that the Department update subparagraph 110.10(1)“c”(1) to reflect the successor organization’s name. A change from the Notice has been made to update that subparagraph.</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October 7,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January 1, 2027.</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110</w:t>
      </w:r>
    </w:p>
    <w:p>
      <w:pPr>
        <w:spacing w:before="0" w:after="0" w:line="480"/>
        <w:ind w:left="120"/>
        <w:jc w:val="center"/>
      </w:pPr>
      <w:r>
        <w:rPr>
          <w:rFonts w:ascii="Times New Roman" w:hAnsi="Times New Roman"/>
          <w:b w:val="false"/>
          <w:i w:val="false"/>
          <w:color w:val="000000"/>
          <w:sz w:val="21"/>
        </w:rPr>
        <w:t xml:space="preserve">CHILD DEVELOPMENT HOMES AND CHILD CARE HOMES WITH A </w:t>
      </w:r>
      <w:r>
        <w:br/>
      </w:r>
      <w:r>
        <w:rPr>
          <w:rFonts w:ascii="Times New Roman" w:hAnsi="Times New Roman"/>
          <w:b w:val="false"/>
          <w:i w:val="false"/>
          <w:color w:val="000000"/>
          <w:sz w:val="21"/>
        </w:rPr>
        <w:t>CHILD CARE ASSISTANCE PROVIDER AGREEMENT</w:t>
      </w:r>
    </w:p>
    <w:p>
      <w:pPr>
        <w:spacing w:before="0" w:after="0" w:line="480"/>
        <w:ind w:left="120"/>
        <w:jc w:val="both"/>
      </w:pPr>
      <w:r>
        <w:rPr>
          <w:rFonts w:ascii="Times New Roman" w:hAnsi="Times New Roman"/>
          <w:b/>
          <w:i w:val="false"/>
          <w:color w:val="000000"/>
          <w:sz w:val="24"/>
        </w:rPr>
        <w:t>441—110.1</w:t>
      </w:r>
      <w:r>
        <w:rPr>
          <w:rFonts w:ascii="Times New Roman" w:hAnsi="Times New Roman"/>
          <w:b/>
          <w:i w:val="false"/>
          <w:color w:val="000000"/>
          <w:sz w:val="24"/>
        </w:rPr>
        <w:t xml:space="preserve">(237A)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“Adult”</w:t>
      </w:r>
      <w:r>
        <w:rPr>
          <w:rFonts w:ascii="Times New Roman" w:hAnsi="Times New Roman"/>
          <w:b w:val="false"/>
          <w:i w:val="false"/>
          <w:color w:val="000000"/>
          <w:sz w:val="24"/>
        </w:rPr>
        <w:t> </w:t>
      </w:r>
      <w:r>
        <w:rPr>
          <w:rFonts w:ascii="Times New Roman" w:hAnsi="Times New Roman"/>
          <w:b w:val="false"/>
          <w:i w:val="false"/>
          <w:color w:val="000000"/>
          <w:sz w:val="24"/>
        </w:rPr>
        <w:t>means a person 18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“Assistant”</w:t>
      </w:r>
      <w:r>
        <w:rPr>
          <w:rFonts w:ascii="Times New Roman" w:hAnsi="Times New Roman"/>
          <w:b w:val="false"/>
          <w:i w:val="false"/>
          <w:color w:val="000000"/>
          <w:sz w:val="24"/>
        </w:rPr>
        <w:t> </w:t>
      </w:r>
      <w:r>
        <w:rPr>
          <w:rFonts w:ascii="Times New Roman" w:hAnsi="Times New Roman"/>
          <w:b w:val="false"/>
          <w:i w:val="false"/>
          <w:color w:val="000000"/>
          <w:sz w:val="24"/>
        </w:rPr>
        <w:t>means a responsible person 14 years of age or older employed by the child care provider. The assistant may never be left alone with children. Ultimate responsibility for supervision is with the child care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“Category,”</w:t>
      </w:r>
      <w:r>
        <w:rPr>
          <w:rFonts w:ascii="Times New Roman" w:hAnsi="Times New Roman"/>
          <w:b w:val="false"/>
          <w:i w:val="false"/>
          <w:color w:val="000000"/>
          <w:sz w:val="24"/>
        </w:rPr>
        <w:t> </w:t>
      </w:r>
      <w:r>
        <w:rPr>
          <w:rFonts w:ascii="Times New Roman" w:hAnsi="Times New Roman"/>
          <w:b w:val="false"/>
          <w:i w:val="false"/>
          <w:color w:val="000000"/>
          <w:sz w:val="24"/>
        </w:rPr>
        <w:t xml:space="preserve">when referring to category A, B, or C, means one of the three categories of standards for child development homes established by Iowa Code section </w:t>
      </w:r>
      <w:hyperlink r:id="rId5">
        <w:r>
          <w:rPr>
            <w:rStyle w:val="Hyperlink"/>
            <w:rFonts w:ascii="Times New Roman" w:hAnsi="Times New Roman"/>
            <w:b w:val="false"/>
            <w:i w:val="false"/>
            <w:color w:val="000000"/>
            <w:sz w:val="24"/>
          </w:rPr>
          <w:t>237A.3A(3)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 assistance provider agreement”</w:t>
      </w:r>
      <w:r>
        <w:rPr>
          <w:rFonts w:ascii="Times New Roman" w:hAnsi="Times New Roman"/>
          <w:b w:val="false"/>
          <w:i w:val="false"/>
          <w:color w:val="000000"/>
          <w:sz w:val="24"/>
        </w:rPr>
        <w:t> </w:t>
      </w:r>
      <w:r>
        <w:rPr>
          <w:rFonts w:ascii="Times New Roman" w:hAnsi="Times New Roman"/>
          <w:b w:val="false"/>
          <w:i w:val="false"/>
          <w:color w:val="000000"/>
          <w:sz w:val="24"/>
        </w:rPr>
        <w:t>means the approved form to receive payment under the child care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 facility”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“facility”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 home”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development home”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support services”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252J.1(2)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“Coaching”</w:t>
      </w:r>
      <w:r>
        <w:rPr>
          <w:rFonts w:ascii="Times New Roman" w:hAnsi="Times New Roman"/>
          <w:b w:val="false"/>
          <w:i w:val="false"/>
          <w:color w:val="000000"/>
          <w:sz w:val="24"/>
        </w:rPr>
        <w:t> </w:t>
      </w:r>
      <w:r>
        <w:rPr>
          <w:rFonts w:ascii="Times New Roman" w:hAnsi="Times New Roman"/>
          <w:b w:val="false"/>
          <w:i w:val="false"/>
          <w:color w:val="000000"/>
          <w:sz w:val="24"/>
        </w:rPr>
        <w:t>means a relationship-based process led by an expert to build capacity for specific professional dispositions, skills, and behaviors and is focused on performance-based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“Education”</w:t>
      </w:r>
      <w:r>
        <w:rPr>
          <w:rFonts w:ascii="Times New Roman" w:hAnsi="Times New Roman"/>
          <w:b w:val="false"/>
          <w:i w:val="false"/>
          <w:color w:val="000000"/>
          <w:sz w:val="24"/>
        </w:rPr>
        <w:t> </w:t>
      </w:r>
      <w:r>
        <w:rPr>
          <w:rFonts w:ascii="Times New Roman" w:hAnsi="Times New Roman"/>
          <w:b w:val="false"/>
          <w:i w:val="false"/>
          <w:color w:val="000000"/>
          <w:sz w:val="24"/>
        </w:rPr>
        <w:t>means formal coursework offered through a state-approved accredited secondary school, college, or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“Infant”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“Involvement with child care”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3">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“Nonregistered child care home”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child care home that has an approved payment application and a current child care assistance provider agreement with the department. Nonregistered child care homes are required to meet minimum health and safety standards under the child care and development block grant under </w:t>
      </w:r>
      <w:r>
        <w:rPr>
          <w:rFonts w:ascii="Times New Roman" w:hAnsi="Times New Roman"/>
          <w:b w:val="false"/>
          <w:i w:val="false"/>
          <w:color w:val="000000"/>
          <w:sz w:val="24"/>
        </w:rPr>
        <w:t>45 CFR 98.41</w:t>
      </w:r>
      <w:r>
        <w:rPr>
          <w:rFonts w:ascii="Times New Roman" w:hAnsi="Times New Roman"/>
          <w:b w:val="false"/>
          <w:i w:val="false"/>
          <w:color w:val="000000"/>
          <w:sz w:val="24"/>
        </w:rPr>
        <w:t xml:space="preserve">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“Parent”</w:t>
      </w:r>
      <w:r>
        <w:rPr>
          <w:rFonts w:ascii="Times New Roman" w:hAnsi="Times New Roman"/>
          <w:b w:val="false"/>
          <w:i w:val="false"/>
          <w:color w:val="000000"/>
          <w:sz w:val="24"/>
        </w:rPr>
        <w:t> </w:t>
      </w:r>
      <w:r>
        <w:rPr>
          <w:rFonts w:ascii="Times New Roman" w:hAnsi="Times New Roman"/>
          <w:b w:val="false"/>
          <w:i w:val="false"/>
          <w:color w:val="000000"/>
          <w:sz w:val="24"/>
        </w:rPr>
        <w:t>means parent or legal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 subject to an evaluation”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237A.5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“Professional development”</w:t>
      </w:r>
      <w:r>
        <w:rPr>
          <w:rFonts w:ascii="Times New Roman" w:hAnsi="Times New Roman"/>
          <w:b w:val="false"/>
          <w:i w:val="false"/>
          <w:color w:val="000000"/>
          <w:sz w:val="24"/>
        </w:rPr>
        <w:t> </w:t>
      </w:r>
      <w:r>
        <w:rPr>
          <w:rFonts w:ascii="Times New Roman" w:hAnsi="Times New Roman"/>
          <w:b w:val="false"/>
          <w:i w:val="false"/>
          <w:color w:val="000000"/>
          <w:sz w:val="24"/>
        </w:rPr>
        <w:t>means a continuum of learning activities designed to prepare and support individuals for work with children and families, including coaching, education, and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“Provider”</w:t>
      </w:r>
      <w:r>
        <w:rPr>
          <w:rFonts w:ascii="Times New Roman" w:hAnsi="Times New Roman"/>
          <w:b w:val="false"/>
          <w:i w:val="false"/>
          <w:color w:val="000000"/>
          <w:sz w:val="24"/>
        </w:rPr>
        <w:t> </w:t>
      </w:r>
      <w:r>
        <w:rPr>
          <w:rFonts w:ascii="Times New Roman" w:hAnsi="Times New Roman"/>
          <w:b w:val="false"/>
          <w:i w:val="false"/>
          <w:color w:val="000000"/>
          <w:sz w:val="24"/>
        </w:rPr>
        <w:t>means the person or program that applies for registration to provide child care and is approved as a child development home or a nonregistered child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“Registration”</w:t>
      </w:r>
      <w:r>
        <w:rPr>
          <w:rFonts w:ascii="Times New Roman" w:hAnsi="Times New Roman"/>
          <w:b w:val="false"/>
          <w:i w:val="false"/>
          <w:color w:val="000000"/>
          <w:sz w:val="24"/>
        </w:rPr>
        <w:t> </w:t>
      </w:r>
      <w:r>
        <w:rPr>
          <w:rFonts w:ascii="Times New Roman" w:hAnsi="Times New Roman"/>
          <w:b w:val="false"/>
          <w:i w:val="false"/>
          <w:color w:val="000000"/>
          <w:sz w:val="24"/>
        </w:rPr>
        <w:t>means the process by which child care providers certify that they comply with rules adopted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“Registration certificate”</w:t>
      </w:r>
      <w:r>
        <w:rPr>
          <w:rFonts w:ascii="Times New Roman" w:hAnsi="Times New Roman"/>
          <w:b w:val="false"/>
          <w:i w:val="false"/>
          <w:color w:val="000000"/>
          <w:sz w:val="24"/>
        </w:rPr>
        <w:t> </w:t>
      </w:r>
      <w:r>
        <w:rPr>
          <w:rFonts w:ascii="Times New Roman" w:hAnsi="Times New Roman"/>
          <w:b w:val="false"/>
          <w:i w:val="false"/>
          <w:color w:val="000000"/>
          <w:sz w:val="24"/>
        </w:rPr>
        <w:t>means the written document issued by the department to publicly state that the provider has certified in writing compliance with the minimum requirements for registration of a child development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“Relative”</w:t>
      </w:r>
      <w:r>
        <w:rPr>
          <w:rFonts w:ascii="Times New Roman" w:hAnsi="Times New Roman"/>
          <w:b w:val="false"/>
          <w:i w:val="false"/>
          <w:color w:val="000000"/>
          <w:sz w:val="24"/>
        </w:rPr>
        <w:t> </w:t>
      </w:r>
      <w:r>
        <w:rPr>
          <w:rFonts w:ascii="Times New Roman" w:hAnsi="Times New Roman"/>
          <w:b w:val="false"/>
          <w:i w:val="false"/>
          <w:color w:val="000000"/>
          <w:sz w:val="24"/>
        </w:rPr>
        <w:t>means grandparents, great-grandparents, aunts, uncles, and siblings living in a separate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“School”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5">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“Training”</w:t>
      </w:r>
      <w:r>
        <w:rPr>
          <w:rFonts w:ascii="Times New Roman" w:hAnsi="Times New Roman"/>
          <w:b w:val="false"/>
          <w:i w:val="false"/>
          <w:color w:val="000000"/>
          <w:sz w:val="24"/>
        </w:rPr>
        <w:t> </w:t>
      </w:r>
      <w:r>
        <w:rPr>
          <w:rFonts w:ascii="Times New Roman" w:hAnsi="Times New Roman"/>
          <w:b w:val="false"/>
          <w:i w:val="false"/>
          <w:color w:val="000000"/>
          <w:sz w:val="24"/>
        </w:rPr>
        <w:t>means a learning experience that addresses a specific topic of professional relevance that builds or enhances knowledge.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“Transgression”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6">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441—110.2</w:t>
      </w:r>
      <w:r>
        <w:rPr>
          <w:rFonts w:ascii="Times New Roman" w:hAnsi="Times New Roman"/>
          <w:b/>
          <w:i w:val="false"/>
          <w:color w:val="000000"/>
          <w:sz w:val="24"/>
        </w:rPr>
        <w:t xml:space="preserve">(237A) </w:t>
      </w:r>
      <w:r>
        <w:rPr>
          <w:rFonts w:ascii="Times New Roman" w:hAnsi="Times New Roman"/>
          <w:b/>
          <w:i w:val="false"/>
          <w:color w:val="000000"/>
          <w:sz w:val="24"/>
        </w:rPr>
        <w:t xml:space="preserve">Application for registration as a child development home or payment as a nonregistered child care home.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110.2(1)</w:t>
      </w:r>
      <w:r>
        <w:rPr>
          <w:rFonts w:ascii="Times New Roman" w:hAnsi="Times New Roman"/>
          <w:b w:val="false"/>
          <w:i w:val="false"/>
          <w:color w:val="000000"/>
          <w:sz w:val="24"/>
        </w:rPr>
        <w:t> </w:t>
      </w:r>
      <w:r>
        <w:rPr>
          <w:rFonts w:ascii="Times New Roman" w:hAnsi="Times New Roman"/>
          <w:b w:val="false"/>
          <w:i w:val="false"/>
          <w:color w:val="000000"/>
          <w:sz w:val="24"/>
        </w:rPr>
        <w:t>A child development home provider shall apply for registration on the Application for Child Development Home Registration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110.2(2)</w:t>
      </w:r>
      <w:r>
        <w:rPr>
          <w:rFonts w:ascii="Times New Roman" w:hAnsi="Times New Roman"/>
          <w:b w:val="false"/>
          <w:i w:val="false"/>
          <w:color w:val="000000"/>
          <w:sz w:val="24"/>
        </w:rPr>
        <w:t> </w:t>
      </w:r>
      <w:r>
        <w:rPr>
          <w:rFonts w:ascii="Times New Roman" w:hAnsi="Times New Roman"/>
          <w:b w:val="false"/>
          <w:i w:val="false"/>
          <w:color w:val="000000"/>
          <w:sz w:val="24"/>
        </w:rPr>
        <w:t>A nonregistered provider shall apply for payment as a nonregistered child care home on the Payment Application for Nonregistered Provider form.</w:t>
      </w:r>
    </w:p>
    <w:p>
      <w:pPr>
        <w:spacing w:before="210" w:after="0" w:line="480"/>
        <w:ind w:left="120"/>
        <w:jc w:val="both"/>
      </w:pPr>
      <w:r>
        <w:rPr>
          <w:rFonts w:ascii="Times New Roman" w:hAnsi="Times New Roman"/>
          <w:b/>
          <w:i w:val="false"/>
          <w:color w:val="000000"/>
          <w:sz w:val="24"/>
        </w:rPr>
        <w:t>441—110.3</w:t>
      </w:r>
      <w:r>
        <w:rPr>
          <w:rFonts w:ascii="Times New Roman" w:hAnsi="Times New Roman"/>
          <w:b/>
          <w:i w:val="false"/>
          <w:color w:val="000000"/>
          <w:sz w:val="24"/>
        </w:rPr>
        <w:t xml:space="preserve">(237A) </w:t>
      </w:r>
      <w:r>
        <w:rPr>
          <w:rFonts w:ascii="Times New Roman" w:hAnsi="Times New Roman"/>
          <w:b/>
          <w:i w:val="false"/>
          <w:color w:val="000000"/>
          <w:sz w:val="24"/>
        </w:rPr>
        <w:t xml:space="preserve">Renewal of registration or payment application. </w:t>
      </w:r>
      <w:r>
        <w:rPr>
          <w:rFonts w:ascii="Times New Roman" w:hAnsi="Times New Roman"/>
          <w:b w:val="false"/>
          <w:i w:val="false"/>
          <w:color w:val="000000"/>
          <w:sz w:val="24"/>
        </w:rPr>
        <w:t>Renewal of registration or payment application shall be completed every 24 months. To request renewal, a provider shall submit a renewal application on the department-approved form and supply to the department all training completion evidence either through certificates or as updated in Iowa’s early childhood and school age professional workforce registry (i-PoWeR).</w:t>
      </w:r>
    </w:p>
    <w:p>
      <w:pPr>
        <w:spacing w:before="210" w:after="0" w:line="480"/>
        <w:ind w:left="120"/>
        <w:jc w:val="both"/>
      </w:pPr>
      <w:r>
        <w:rPr>
          <w:rFonts w:ascii="Times New Roman" w:hAnsi="Times New Roman"/>
          <w:b/>
          <w:i w:val="false"/>
          <w:color w:val="000000"/>
          <w:sz w:val="24"/>
        </w:rPr>
        <w:t>441—110.4</w:t>
      </w:r>
      <w:r>
        <w:rPr>
          <w:rFonts w:ascii="Times New Roman" w:hAnsi="Times New Roman"/>
          <w:b/>
          <w:i w:val="false"/>
          <w:color w:val="000000"/>
          <w:sz w:val="24"/>
        </w:rPr>
        <w:t xml:space="preserve">(237A) </w:t>
      </w:r>
      <w:r>
        <w:rPr>
          <w:rFonts w:ascii="Times New Roman" w:hAnsi="Times New Roman"/>
          <w:b/>
          <w:i w:val="false"/>
          <w:color w:val="000000"/>
          <w:sz w:val="24"/>
        </w:rPr>
        <w:t xml:space="preserve">Compliance checks. </w:t>
      </w:r>
      <w:r>
        <w:rPr>
          <w:rFonts w:ascii="Times New Roman" w:hAnsi="Times New Roman"/>
          <w:b w:val="false"/>
          <w:i w:val="false"/>
          <w:color w:val="000000"/>
          <w:sz w:val="24"/>
        </w:rPr>
        <w:t>Prior to child development home registration, a site visit to inspect for compliance with health, safety, and fire standards will be completed. An unannounced compliance visit will be conducted not less than annually to each child development home and nonregistered child care home.</w:t>
      </w:r>
    </w:p>
    <w:p>
      <w:pPr>
        <w:spacing w:before="210" w:after="0" w:line="480"/>
        <w:ind w:left="120"/>
        <w:jc w:val="both"/>
      </w:pPr>
      <w:r>
        <w:rPr>
          <w:rFonts w:ascii="Times New Roman" w:hAnsi="Times New Roman"/>
          <w:b/>
          <w:i w:val="false"/>
          <w:color w:val="000000"/>
          <w:sz w:val="24"/>
        </w:rPr>
        <w:t>441—110.5</w:t>
      </w:r>
      <w:r>
        <w:rPr>
          <w:rFonts w:ascii="Times New Roman" w:hAnsi="Times New Roman"/>
          <w:b/>
          <w:i w:val="false"/>
          <w:color w:val="000000"/>
          <w:sz w:val="24"/>
        </w:rPr>
        <w:t xml:space="preserve">(237A) </w:t>
      </w:r>
      <w:r>
        <w:rPr>
          <w:rFonts w:ascii="Times New Roman" w:hAnsi="Times New Roman"/>
          <w:b/>
          <w:i w:val="false"/>
          <w:color w:val="000000"/>
          <w:sz w:val="24"/>
        </w:rPr>
        <w:t xml:space="preserve">Parental access. </w:t>
      </w:r>
      <w:r>
        <w:rPr>
          <w:rFonts w:ascii="Times New Roman" w:hAnsi="Times New Roman"/>
          <w:b w:val="false"/>
          <w:i w:val="false"/>
          <w:color w:val="000000"/>
          <w:sz w:val="24"/>
        </w:rPr>
        <w:t>Parents shall be afforded unlimited access to their children and to the people caring for their children during the normal hours of operation or whenever their children are in the care of the child development home or nonregistered child care home unless parental contact is prohibited by court order.</w:t>
      </w:r>
    </w:p>
    <w:p>
      <w:pPr>
        <w:spacing w:before="0" w:after="0" w:line="480"/>
        <w:ind w:left="120"/>
        <w:jc w:val="both"/>
      </w:pPr>
      <w:r>
        <w:rPr>
          <w:rFonts w:ascii="Times New Roman" w:hAnsi="Times New Roman"/>
          <w:b/>
          <w:i w:val="false"/>
          <w:color w:val="000000"/>
          <w:sz w:val="24"/>
        </w:rPr>
        <w:t>441—110.6</w:t>
      </w:r>
      <w:r>
        <w:rPr>
          <w:rFonts w:ascii="Times New Roman" w:hAnsi="Times New Roman"/>
          <w:b/>
          <w:i w:val="false"/>
          <w:color w:val="000000"/>
          <w:sz w:val="24"/>
        </w:rPr>
        <w:t xml:space="preserve">(237A) </w:t>
      </w:r>
      <w:r>
        <w:rPr>
          <w:rFonts w:ascii="Times New Roman" w:hAnsi="Times New Roman"/>
          <w:b/>
          <w:i w:val="false"/>
          <w:color w:val="000000"/>
          <w:sz w:val="24"/>
        </w:rPr>
        <w:t xml:space="preserve">Number of children.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110.6(1)</w:t>
      </w:r>
      <w:r>
        <w:rPr>
          <w:rFonts w:ascii="Times New Roman" w:hAnsi="Times New Roman"/>
          <w:b w:val="false"/>
          <w:i w:val="false"/>
          <w:color w:val="000000"/>
          <w:sz w:val="24"/>
        </w:rPr>
        <w:t> </w:t>
      </w:r>
      <w:r>
        <w:rPr>
          <w:rFonts w:ascii="Times New Roman" w:hAnsi="Times New Roman"/>
          <w:b w:val="false"/>
          <w:i/>
          <w:color w:val="000000"/>
          <w:sz w:val="24"/>
        </w:rPr>
        <w:t xml:space="preserve">Standards. </w:t>
      </w:r>
      <w:r>
        <w:rPr>
          <w:rFonts w:ascii="Times New Roman" w:hAnsi="Times New Roman"/>
          <w:b w:val="false"/>
          <w:i w:val="false"/>
          <w:color w:val="000000"/>
          <w:sz w:val="24"/>
        </w:rPr>
        <w:t>The number of children in a child development home or nonregistered child care home shall conform to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Registered child development home limits. </w:t>
      </w:r>
      <w:r>
        <w:rPr>
          <w:rFonts w:ascii="Times New Roman" w:hAnsi="Times New Roman"/>
          <w:b w:val="false"/>
          <w:i w:val="false"/>
          <w:color w:val="000000"/>
          <w:sz w:val="24"/>
        </w:rPr>
        <w:t xml:space="preserve">Except as provided in subrule </w:t>
      </w:r>
      <w:hyperlink r:id="rId17">
        <w:r>
          <w:rPr>
            <w:rStyle w:val="Hyperlink"/>
            <w:rFonts w:ascii="Times New Roman" w:hAnsi="Times New Roman"/>
            <w:b w:val="false"/>
            <w:i w:val="false"/>
            <w:color w:val="000000"/>
            <w:sz w:val="24"/>
          </w:rPr>
          <w:t>110.6(3)</w:t>
        </w:r>
      </w:hyperlink>
      <w:r>
        <w:rPr>
          <w:rFonts w:ascii="Times New Roman" w:hAnsi="Times New Roman"/>
          <w:b w:val="false"/>
          <w:i w:val="false"/>
          <w:color w:val="000000"/>
          <w:sz w:val="24"/>
        </w:rPr>
        <w:t>, no greater number of children shall be received for care at any one time than the number authorized on the registration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Nonregistered child care home limits. </w:t>
      </w:r>
      <w:r>
        <w:rPr>
          <w:rFonts w:ascii="Times New Roman" w:hAnsi="Times New Roman"/>
          <w:b w:val="false"/>
          <w:i w:val="false"/>
          <w:color w:val="000000"/>
          <w:sz w:val="24"/>
        </w:rPr>
        <w:t>No more than six children shall receive care at any one time if at least one child is school-aged.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110.6(2)</w:t>
      </w:r>
      <w:r>
        <w:rPr>
          <w:rFonts w:ascii="Times New Roman" w:hAnsi="Times New Roman"/>
          <w:b w:val="false"/>
          <w:i w:val="false"/>
          <w:color w:val="000000"/>
          <w:sz w:val="24"/>
        </w:rPr>
        <w:t> </w:t>
      </w:r>
      <w:r>
        <w:rPr>
          <w:rFonts w:ascii="Times New Roman" w:hAnsi="Times New Roman"/>
          <w:b w:val="false"/>
          <w:i/>
          <w:color w:val="000000"/>
          <w:sz w:val="24"/>
        </w:rPr>
        <w:t xml:space="preserve">Children counted. </w:t>
      </w:r>
      <w:r>
        <w:rPr>
          <w:rFonts w:ascii="Times New Roman" w:hAnsi="Times New Roman"/>
          <w:b w:val="false"/>
          <w:i w:val="false"/>
          <w:color w:val="000000"/>
          <w:sz w:val="24"/>
        </w:rPr>
        <w:t xml:space="preserve">The number of children counted is as stated in Iowa Code section </w:t>
      </w:r>
      <w:hyperlink r:id="rId18">
        <w:r>
          <w:rPr>
            <w:rStyle w:val="Hyperlink"/>
            <w:rFonts w:ascii="Times New Roman" w:hAnsi="Times New Roman"/>
            <w:b w:val="false"/>
            <w:i w:val="false"/>
            <w:color w:val="000000"/>
            <w:sz w:val="24"/>
          </w:rPr>
          <w:t>237A.3A(4)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110.6(3)</w:t>
      </w:r>
      <w:r>
        <w:rPr>
          <w:rFonts w:ascii="Times New Roman" w:hAnsi="Times New Roman"/>
          <w:b w:val="false"/>
          <w:i w:val="false"/>
          <w:color w:val="000000"/>
          <w:sz w:val="24"/>
        </w:rPr>
        <w:t> </w:t>
      </w:r>
      <w:r>
        <w:rPr>
          <w:rFonts w:ascii="Times New Roman" w:hAnsi="Times New Roman"/>
          <w:b w:val="false"/>
          <w:i/>
          <w:color w:val="000000"/>
          <w:sz w:val="24"/>
        </w:rPr>
        <w:t xml:space="preserve">Exception for emergency school closing. </w:t>
      </w:r>
      <w:r>
        <w:rPr>
          <w:rFonts w:ascii="Times New Roman" w:hAnsi="Times New Roman"/>
          <w:b w:val="false"/>
          <w:i w:val="false"/>
          <w:color w:val="000000"/>
          <w:sz w:val="24"/>
        </w:rPr>
        <w:t>On days when schools start late, are dismissed early, or are canceled or closed due to emergencies such as inclement weather, physical plant failure, structural damage, or public health emergency, a child development home may have additional children present in accordance with the authorization for the registration category of the home and subject to all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One or more of the following conditions are applicable to each of the additional children present in the child development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home provides care to the child on a regular basis for periods of less than two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child were not present in the child development home, the child would be unattended.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home regularly provides care to a sibling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a written record, including the date of the emergency school closing, the reason for the closing, and the number of children in care on that date.</w:t>
      </w:r>
    </w:p>
    <w:p>
      <w:pPr>
        <w:spacing w:before="0" w:after="0" w:line="480"/>
        <w:ind w:left="120"/>
        <w:jc w:val="both"/>
      </w:pPr>
      <w:r>
        <w:rPr>
          <w:rFonts w:ascii="Times New Roman" w:hAnsi="Times New Roman"/>
          <w:b/>
          <w:i w:val="false"/>
          <w:color w:val="000000"/>
          <w:sz w:val="24"/>
        </w:rPr>
        <w:t>441—110.7</w:t>
      </w:r>
      <w:r>
        <w:rPr>
          <w:rFonts w:ascii="Times New Roman" w:hAnsi="Times New Roman"/>
          <w:b/>
          <w:i w:val="false"/>
          <w:color w:val="000000"/>
          <w:sz w:val="24"/>
        </w:rPr>
        <w:t xml:space="preserve">(237A) </w:t>
      </w:r>
      <w:r>
        <w:rPr>
          <w:rFonts w:ascii="Times New Roman" w:hAnsi="Times New Roman"/>
          <w:b/>
          <w:i w:val="false"/>
          <w:color w:val="000000"/>
          <w:sz w:val="24"/>
        </w:rPr>
        <w:t xml:space="preserve">Provider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110.7(1)</w:t>
      </w:r>
      <w:r>
        <w:rPr>
          <w:rFonts w:ascii="Times New Roman" w:hAnsi="Times New Roman"/>
          <w:b w:val="false"/>
          <w:i w:val="false"/>
          <w:color w:val="000000"/>
          <w:sz w:val="24"/>
        </w:rPr>
        <w:t> </w:t>
      </w:r>
      <w:r>
        <w:rPr>
          <w:rFonts w:ascii="Times New Roman" w:hAnsi="Times New Roman"/>
          <w:b w:val="false"/>
          <w:i/>
          <w:color w:val="000000"/>
          <w:sz w:val="24"/>
        </w:rPr>
        <w:t xml:space="preserve">Provider. </w:t>
      </w:r>
      <w:r>
        <w:rPr>
          <w:rFonts w:ascii="Times New Roman" w:hAnsi="Times New Roman"/>
          <w:b w:val="false"/>
          <w:i w:val="false"/>
          <w:color w:val="000000"/>
          <w:sz w:val="24"/>
        </w:rPr>
        <w:t>The provider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Give careful supervision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Exchange information with the parent of each child frequently to enhance the quality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Give consistent, dependable care and be capable of handling emergencies.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Be present at all times, except when emergencies occur or an absence is planned, at which time care shall be provided by a department-approved substitute as permitted for a child development home under subrule </w:t>
      </w:r>
      <w:hyperlink r:id="rId19">
        <w:r>
          <w:rPr>
            <w:rStyle w:val="Hyperlink"/>
            <w:rFonts w:ascii="Times New Roman" w:hAnsi="Times New Roman"/>
            <w:b w:val="false"/>
            <w:i w:val="false"/>
            <w:color w:val="000000"/>
            <w:sz w:val="24"/>
          </w:rPr>
          <w:t>110.7(2)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Be free of the use of illegal drugs and not under the influence of alcohol or any prescription or nonprescription drug that could impair the provider’s ability to give careful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110.7(2)</w:t>
      </w:r>
      <w:r>
        <w:rPr>
          <w:rFonts w:ascii="Times New Roman" w:hAnsi="Times New Roman"/>
          <w:b w:val="false"/>
          <w:i w:val="false"/>
          <w:color w:val="000000"/>
          <w:sz w:val="24"/>
        </w:rPr>
        <w:t> </w:t>
      </w:r>
      <w:r>
        <w:rPr>
          <w:rFonts w:ascii="Times New Roman" w:hAnsi="Times New Roman"/>
          <w:b w:val="false"/>
          <w:i/>
          <w:color w:val="000000"/>
          <w:sz w:val="24"/>
        </w:rPr>
        <w:t xml:space="preserve">Substitutes in child development homes. </w:t>
      </w:r>
      <w:r>
        <w:rPr>
          <w:rFonts w:ascii="Times New Roman" w:hAnsi="Times New Roman"/>
          <w:b w:val="false"/>
          <w:i w:val="false"/>
          <w:color w:val="000000"/>
          <w:sz w:val="24"/>
        </w:rPr>
        <w:t>Any designated substitute shall have the same responsibility for providing adequate and appropriate supervision. Ultimate responsibility for supervision shall be with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standards in this chapter regarding supervision and care of children shall apply to substitutes.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Except in emergency situations, the provider shall inform parents in advance of the planned use of a substitute.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substitute must be 18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Use of a substitute shall be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more than 25 hours per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additional period of up to two weeks in a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a written record of the number of hours care is provided by a substitute, including the date of the care and the name of the substitute.</w:t>
      </w:r>
    </w:p>
    <w:p>
      <w:pPr>
        <w:spacing w:before="0" w:after="0" w:line="480"/>
        <w:ind w:left="120"/>
        <w:jc w:val="both"/>
      </w:pPr>
      <w:r>
        <w:rPr>
          <w:rFonts w:ascii="Times New Roman" w:hAnsi="Times New Roman"/>
          <w:b/>
          <w:i w:val="false"/>
          <w:color w:val="000000"/>
          <w:sz w:val="24"/>
        </w:rPr>
        <w:t>441—110.8</w:t>
      </w:r>
      <w:r>
        <w:rPr>
          <w:rFonts w:ascii="Times New Roman" w:hAnsi="Times New Roman"/>
          <w:b/>
          <w:i w:val="false"/>
          <w:color w:val="000000"/>
          <w:sz w:val="24"/>
        </w:rPr>
        <w:t xml:space="preserve">(237A) </w:t>
      </w:r>
      <w:r>
        <w:rPr>
          <w:rFonts w:ascii="Times New Roman" w:hAnsi="Times New Roman"/>
          <w:b/>
          <w:i w:val="false"/>
          <w:color w:val="000000"/>
          <w:sz w:val="24"/>
        </w:rPr>
        <w:t xml:space="preserve">Standards. </w:t>
      </w:r>
      <w:r>
        <w:rPr>
          <w:rFonts w:ascii="Times New Roman" w:hAnsi="Times New Roman"/>
          <w:b w:val="false"/>
          <w:i w:val="false"/>
          <w:color w:val="000000"/>
          <w:sz w:val="24"/>
        </w:rPr>
        <w:t>Conditions in the home shall be safe, sanitary, and free of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110.8(1)</w:t>
      </w:r>
      <w:r>
        <w:rPr>
          <w:rFonts w:ascii="Times New Roman" w:hAnsi="Times New Roman"/>
          <w:b w:val="false"/>
          <w:i w:val="false"/>
          <w:color w:val="000000"/>
          <w:sz w:val="24"/>
        </w:rPr>
        <w:t> </w:t>
      </w:r>
      <w:r>
        <w:rPr>
          <w:rFonts w:ascii="Times New Roman" w:hAnsi="Times New Roman"/>
          <w:b w:val="false"/>
          <w:i/>
          <w:color w:val="000000"/>
          <w:sz w:val="24"/>
        </w:rPr>
        <w:t xml:space="preserve">Facility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home shall have a telephone with emergency numbers for police, fire, ambulance, and the poison information center accessible.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phone number for each child’s parent, and for a responsible person who can be reached when the parent is not available, shall be accessible.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travel vehicles must have a copy of emergency parent contact information in the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Electrical wiring shall be maintained, and all accessible electrical outlets shall be tamper-resistant outlets or shall be safely capped. Electrical cords shall be properly used and in the manner for which they were designed.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Combustible materials shall be kept a minimum of three feet away from furnaces, stoves, water heaters, and gas dryers.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Approved safety gates at stairways and doors shall be provided and used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Annual laboratory analysis of a private water supply shall be conducted to show satisfactory bacteriological quality. When children under the age of two are to be cared for, the analysis shall include a nitrate analysis. When private water supplies are determined unsuitable for drinking, commercially bottled water or water treated through a process approved by the department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safety barrier shall surround any heating stove or heating element.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home shall have at least one 2A 10BC-rated fire extinguisher located in a visible and readily accessible place on each child-occupied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home shall have at least one single-station, battery-operated, UL-approved smoke detector in each child-occupied room and at the top of every stairway. The provider shall test each smoke detector monthly and keep a record of testing for inspection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Smoking and the use of tobacco products shall be prohibited at all times in the home and in every vehicle in which children receiving care in the home are transported. Smoking and the use of tobacco products shall be prohibited in the outdoor play area during the home’s hours of operation. “No smoking” signs shall be posted at every entrance of the child care home and in every vehicle used to transport children. All signs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telephone number for reporting complaints,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internet address of the department where complaints can be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Homes served by a private sewage disposal system shall be operated and maintained to ensure the system is properly treating the wastewater and not creating an unsanitary condition in the environment. Discharge of untreated wastewater from private sewage disposal systems is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A provider operating in a facility built before 1978 shall assess and control lead hazards. To comply with this provision, the provider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Determine whether painted surfaces on the interior or exterior of the facility are chipping, peeling, cracking, or in need of repair. Painted surfaces include walls, ceilings, windows, doors, stairs, and woodwork;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painted surfaces are in need of repair, the home shall hire an Iowa certified lead-safe renovator to make repairs. Iowa lead-safe renovators shall apply interim controls on any chipping, peeling, or cracking paint found, using lead-safe work methods in accordance with and as defined by department as set forth in 481—Chapters </w:t>
      </w:r>
      <w:hyperlink r:id="rId20">
        <w:r>
          <w:rPr>
            <w:rStyle w:val="Hyperlink"/>
            <w:rFonts w:ascii="Times New Roman" w:hAnsi="Times New Roman"/>
            <w:b w:val="false"/>
            <w:i w:val="false"/>
            <w:color w:val="000000"/>
            <w:sz w:val="24"/>
          </w:rPr>
          <w:t>469</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470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The child development home or nonregistered child care home shall be located in a single-family residence that is owned, rented, or leased by the person or, for dual registrations, at least one of the persons named on the child development home’s certificate of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 xml:space="preserve">Any driver who transports children for any purpose shall have a valid driver’s license and adequate motor vehicle insurance that authorizes the driver to operate the type of vehicle being driven. Child restraint devices shall be utilized in compliance with Iowa Code section </w:t>
      </w:r>
      <w:hyperlink r:id="rId22">
        <w:r>
          <w:rPr>
            <w:rStyle w:val="Hyperlink"/>
            <w:rFonts w:ascii="Times New Roman" w:hAnsi="Times New Roman"/>
            <w:b w:val="false"/>
            <w:i w:val="false"/>
            <w:color w:val="000000"/>
            <w:sz w:val="24"/>
          </w:rPr>
          <w:t>321.446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Providers shall inform parents of the presence of any pet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Each dog or cat in the household shall undergo an annual health examination by a licensed veterinarian. Veterinary examinations shall be documented on a veterinary health certificate or record of standard veterinary preventative care. This examination shall verify the animal’s routine immunizations are current and there is no evidence of endoparasites and ectoparasites.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Aquariums shall be well maintained and installed in a manner that prevents children from accessing the water or pulling over a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animal waste shall be immediately removed from the children’s areas and properly disposed of. Children cannot perform any feeding or care of pets or cleanup of pet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animals shall be allowed in the food preparation, food storage, or serving areas during food preparation and serving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Using an injury report form, the provider shall document all injuries needing first aid or medical care. The form shall be completed on the date of occurrence, shared with the parent, and maintained in the child’s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written policies regarding the care of mildly ill children and the exclusion of children due to illness and shall inform parents of these policies.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written policy and procedures for responding to health-related emergencies.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The certificate of registration shall be displayed in a conspicuous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 xml:space="preserve">Serious injuries, as defined in Iowa Code section </w:t>
      </w:r>
      <w:hyperlink r:id="rId23">
        <w:r>
          <w:rPr>
            <w:rStyle w:val="Hyperlink"/>
            <w:rFonts w:ascii="Times New Roman" w:hAnsi="Times New Roman"/>
            <w:b w:val="false"/>
            <w:i w:val="false"/>
            <w:color w:val="000000"/>
            <w:sz w:val="24"/>
          </w:rPr>
          <w:t>702.18</w:t>
        </w:r>
      </w:hyperlink>
      <w:r>
        <w:rPr>
          <w:rFonts w:ascii="Times New Roman" w:hAnsi="Times New Roman"/>
          <w:b w:val="false"/>
          <w:i w:val="false"/>
          <w:color w:val="000000"/>
          <w:sz w:val="24"/>
        </w:rPr>
        <w:t>, that occur in a child care facility or when a child is in the care of child care facility staff shall be reported to the department within 24 hours of the incident. Serious injuries shall be documented and information maintained in the child’s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110.8(2)</w:t>
      </w:r>
      <w:r>
        <w:rPr>
          <w:rFonts w:ascii="Times New Roman" w:hAnsi="Times New Roman"/>
          <w:b w:val="false"/>
          <w:i w:val="false"/>
          <w:color w:val="000000"/>
          <w:sz w:val="24"/>
        </w:rPr>
        <w:t> </w:t>
      </w:r>
      <w:r>
        <w:rPr>
          <w:rFonts w:ascii="Times New Roman" w:hAnsi="Times New Roman"/>
          <w:b w:val="false"/>
          <w:i/>
          <w:color w:val="000000"/>
          <w:sz w:val="24"/>
        </w:rPr>
        <w:t xml:space="preserve">Use of outdoor space.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safe outdoor play area shall be maintained in good condition throughout the year. The play area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fenced off when located on a busy thoroughfare or near a hazard that could be injurious to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both sunshine and shade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kept free from litter, rubbish, and flammable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free from contamination by the drainage or ponding of sewage, household waste, or storm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there is a swimming or wading pool on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wading pool shall be drained daily and shall be inaccessible to children when it is not in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aboveground or in-ground swimming pool that is not fenced shall be covered whenever the pool is not in use. The cover shall meet or exceed the standards set forth by ASTM International intended to reduce the risk of drowning by inhibiting access to the water by children under five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uncovered aboveground swimming pool shall be enclosed with an approved fence that is nonclimbable and is at least four feet high.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uncovered in-ground swimming pool shall be enclosed with an approved fence that is nonclimbable and is at least four feet high and flush with the ground.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children are allowed to use an aboveground or in-ground swimming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Written permission from parents shall be available for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Equipment needed to rescue a child or adult shall be readily accessible.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child care provider shall accompany the children and provide constant supervision while the children use the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child care provider shall complete training in cardiopulmonary resuscitation (CPR) for infants, toddlers, and children, according to the criteria of the American Red Cross or the American Heart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110.8(3)</w:t>
      </w:r>
      <w:r>
        <w:rPr>
          <w:rFonts w:ascii="Times New Roman" w:hAnsi="Times New Roman"/>
          <w:b w:val="false"/>
          <w:i w:val="false"/>
          <w:color w:val="000000"/>
          <w:sz w:val="24"/>
        </w:rPr>
        <w:t> </w:t>
      </w:r>
      <w:r>
        <w:rPr>
          <w:rFonts w:ascii="Times New Roman" w:hAnsi="Times New Roman"/>
          <w:b w:val="false"/>
          <w:i/>
          <w:color w:val="000000"/>
          <w:sz w:val="24"/>
        </w:rPr>
        <w:t xml:space="preserve">Medications and hazardous materials.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medicines and poisonous, toxic, or otherwise unsafe materials shall be secured from access by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first aid kit shall be available and easily accessible whenever children are in the child development home or nonregistered child care home, in the outdoor play area, in vehicles used to transport children, and on field trips. The kit shall be sufficient to address first aid related to minor injury or trauma and shall be stored in an area inaccessible to children. The kit shall at a minimum include adhesive bandages, bottled water, tweezers, and disposable plastic gloves.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Medications shall be given only with the parent’s or doctor’s written authorization. Each prescribed medication shall be accompanied by a physician’s or pharmacist’s direction. Both nonprescription and prescription medications shall be in the original container with directions intact and labeled with the child’s name. All medications shall be stored properly and, when refrigeration is required, stored in a separate, covered container to prevent contamination of food or other medications. All medications shall be stored so they are inaccessible to children. Any medication administered to a child shall be recorded, including the name of the medication, the date and time of administration, and the amount administered.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provider shall establish procedures related to infectious disease control and handling of any bodily excrement or discharge or blood. Soiled diapers shall be stored in containers separate from other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110.8(4)</w:t>
      </w:r>
      <w:r>
        <w:rPr>
          <w:rFonts w:ascii="Times New Roman" w:hAnsi="Times New Roman"/>
          <w:b w:val="false"/>
          <w:i w:val="false"/>
          <w:color w:val="000000"/>
          <w:sz w:val="24"/>
        </w:rPr>
        <w:t> </w:t>
      </w:r>
      <w:r>
        <w:rPr>
          <w:rFonts w:ascii="Times New Roman" w:hAnsi="Times New Roman"/>
          <w:b w:val="false"/>
          <w:i/>
          <w:color w:val="000000"/>
          <w:sz w:val="24"/>
        </w:rPr>
        <w:t xml:space="preserve">Emergency plans. </w:t>
      </w:r>
      <w:r>
        <w:rPr>
          <w:rFonts w:ascii="Times New Roman" w:hAnsi="Times New Roman"/>
          <w:b w:val="false"/>
          <w:i w:val="false"/>
          <w:color w:val="000000"/>
          <w:sz w:val="24"/>
        </w:rPr>
        <w:t>Emergency plans in case of human-made or natural disaster shall be written and posted by the primary and secondary exits. The plans shall clearly map building evacuation routes and tornado and flood shelter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Fire and tornado drills shall be practiced monthly, and the provider shall keep documentation evidencing compliance with monthly practice on file for the current year and the previous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must have procedures in place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Evacuation to safely leave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Relocation to a common, safe location after evacuation.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Shelter-in-place to take immediate shelter where the child is when it is unsafe to leave that location due to the emergent issue.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Lockdown to protect children and providers from an external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Communication and plans for reunification with families.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Continuity of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To address the needs of individual children, including those with functional or physical access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110.8(5)</w:t>
      </w:r>
      <w:r>
        <w:rPr>
          <w:rFonts w:ascii="Times New Roman" w:hAnsi="Times New Roman"/>
          <w:b w:val="false"/>
          <w:i w:val="false"/>
          <w:color w:val="000000"/>
          <w:sz w:val="24"/>
        </w:rPr>
        <w:t> </w:t>
      </w:r>
      <w:r>
        <w:rPr>
          <w:rFonts w:ascii="Times New Roman" w:hAnsi="Times New Roman"/>
          <w:b w:val="false"/>
          <w:i/>
          <w:color w:val="000000"/>
          <w:sz w:val="24"/>
        </w:rPr>
        <w:t xml:space="preserve">Safe sleep.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follow safe sleep practices as recommended by the American Academy of Pediatrics for infants under the age of one. Infant sleep shall conform to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Infants shall always be placed on their backs for sleep.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Infants shall be placed on a firm mattress with a tight-fitted sheet that meets U.S. Consumer Product Safety Commission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Infants cannot be allowed to sleep on a bed, sofa, air mattress, or other soft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toys, soft objects, stuffed animals, pillows, bumper pads, blankets, or loose bedding shall be allowed in the sleeping area with the infant.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 co-sleeping shall be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Sleeping infants shall be actively observed by sight and sound.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If an alternate sleeping position is needed, a signed physician or physician associate authorization with statement of medical reason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child shall be allowed to sleep in any item not designed for sleeping, such as an infant seat, car seat, swing, or bouncy seat.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crib or criblike furniture that has a waterproof mattress covering and sufficient bedding to enable a child to rest comfortably and that meets the current standards or recommendations from the U.S. Consumer Product Safety Commission or ASTM International for juvenile products shall be provided for each child under two years of age if developmentally appropriate. Crib railings shall be fully raised and secured when the child is in the crib. A crib or criblike furniture shall be provided for the number of children present at any one time. The home shall maintain all cribs or criblike furniture and bedding in a clean and sanitary manner. There shall be no restraining devices of any type used in cribs.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items used for sleeping must be used in compliance with manufacturer standards for the age and weight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110.8(6)</w:t>
      </w:r>
      <w:r>
        <w:rPr>
          <w:rFonts w:ascii="Times New Roman" w:hAnsi="Times New Roman"/>
          <w:b w:val="false"/>
          <w:i w:val="false"/>
          <w:color w:val="000000"/>
          <w:sz w:val="24"/>
        </w:rPr>
        <w:t> </w:t>
      </w:r>
      <w:r>
        <w:rPr>
          <w:rFonts w:ascii="Times New Roman" w:hAnsi="Times New Roman"/>
          <w:b w:val="false"/>
          <w:i/>
          <w:color w:val="000000"/>
          <w:sz w:val="24"/>
        </w:rPr>
        <w:t xml:space="preserve">Discipline. </w:t>
      </w:r>
      <w:r>
        <w:rPr>
          <w:rFonts w:ascii="Times New Roman" w:hAnsi="Times New Roman"/>
          <w:b w:val="false"/>
          <w:i w:val="false"/>
          <w:color w:val="000000"/>
          <w:sz w:val="24"/>
        </w:rPr>
        <w:t>Discipline shall conform to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Corporal punishment, including spanking, shaking, and slapping, shall not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Punishment that is humiliating or frightening or that causes pain or discomfort to the child shall not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Punishment cannot be administered because of a child’s illness, or progress or lack of progress in toilet training, nor shall punishment or threat of punishment be associated with food or 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child shall be subjected to verbal abuse, threats, or derogatory remarks about the child or the child’s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Discipline shall emphasize prevention by having clear and consistent rules and by teaching children self-control, self-esteem, and respect for the rights of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110.8(7)</w:t>
      </w:r>
      <w:r>
        <w:rPr>
          <w:rFonts w:ascii="Times New Roman" w:hAnsi="Times New Roman"/>
          <w:b w:val="false"/>
          <w:i w:val="false"/>
          <w:color w:val="000000"/>
          <w:sz w:val="24"/>
        </w:rPr>
        <w:t> </w:t>
      </w:r>
      <w:r>
        <w:rPr>
          <w:rFonts w:ascii="Times New Roman" w:hAnsi="Times New Roman"/>
          <w:b w:val="false"/>
          <w:i/>
          <w:color w:val="000000"/>
          <w:sz w:val="24"/>
        </w:rPr>
        <w:t xml:space="preserve">Meals and snacks.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Registered child development homes shall provide regular meals, midmorning snacks, and midafternoon snacks.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meals and snacks shall be well-balanced, nourishing, and in appropriate amounts as defined by the United States Department of Agriculture (USDA) Child and Adult Care Food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Nonregistered child care homes do not have to meet the USDA Child and Adult Care Food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Children may bring food to the child development home or nonregistered child care home for their own consumption but cannot be required to provide their own food.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Clean, sanitary drinking water shall be readily available to children in indoor and outdoor areas throughout the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110.8(8)</w:t>
      </w:r>
      <w:r>
        <w:rPr>
          <w:rFonts w:ascii="Times New Roman" w:hAnsi="Times New Roman"/>
          <w:b w:val="false"/>
          <w:i w:val="false"/>
          <w:color w:val="000000"/>
          <w:sz w:val="24"/>
        </w:rPr>
        <w:t> </w:t>
      </w:r>
      <w:r>
        <w:rPr>
          <w:rFonts w:ascii="Times New Roman" w:hAnsi="Times New Roman"/>
          <w:b w:val="false"/>
          <w:i/>
          <w:color w:val="000000"/>
          <w:sz w:val="24"/>
        </w:rPr>
        <w:t xml:space="preserve">Activity program. </w:t>
      </w:r>
      <w:r>
        <w:rPr>
          <w:rFonts w:ascii="Times New Roman" w:hAnsi="Times New Roman"/>
          <w:b w:val="false"/>
          <w:i w:val="false"/>
          <w:color w:val="000000"/>
          <w:sz w:val="24"/>
        </w:rPr>
        <w:t>There shall be an activity program that promotes self-esteem and exploration and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Active play.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Quiet play.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Activities for large-muscle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Activities for small-muscle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Play equipment and materials in a safe condition, for both indoor and outdoor activities that are developmentally appropriate for the ages and number of children present.</w:t>
      </w:r>
    </w:p>
    <w:p>
      <w:pPr>
        <w:spacing w:before="0" w:after="0" w:line="480"/>
        <w:ind w:left="120"/>
        <w:jc w:val="both"/>
      </w:pPr>
      <w:r>
        <w:rPr>
          <w:rFonts w:ascii="Times New Roman" w:hAnsi="Times New Roman"/>
          <w:b/>
          <w:i w:val="false"/>
          <w:color w:val="000000"/>
          <w:sz w:val="24"/>
        </w:rPr>
        <w:t>441—110.9</w:t>
      </w:r>
      <w:r>
        <w:rPr>
          <w:rFonts w:ascii="Times New Roman" w:hAnsi="Times New Roman"/>
          <w:b/>
          <w:i w:val="false"/>
          <w:color w:val="000000"/>
          <w:sz w:val="24"/>
        </w:rPr>
        <w:t xml:space="preserve">(237A) </w:t>
      </w:r>
      <w:r>
        <w:rPr>
          <w:rFonts w:ascii="Times New Roman" w:hAnsi="Times New Roman"/>
          <w:b/>
          <w:i w:val="false"/>
          <w:color w:val="000000"/>
          <w:sz w:val="24"/>
        </w:rPr>
        <w:t xml:space="preserve">Files.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110.9(1)</w:t>
      </w:r>
      <w:r>
        <w:rPr>
          <w:rFonts w:ascii="Times New Roman" w:hAnsi="Times New Roman"/>
          <w:b w:val="false"/>
          <w:i w:val="false"/>
          <w:color w:val="000000"/>
          <w:sz w:val="24"/>
        </w:rPr>
        <w:t> </w:t>
      </w:r>
      <w:r>
        <w:rPr>
          <w:rFonts w:ascii="Times New Roman" w:hAnsi="Times New Roman"/>
          <w:b w:val="false"/>
          <w:i w:val="false"/>
          <w:color w:val="000000"/>
          <w:sz w:val="24"/>
        </w:rPr>
        <w:t>The child development home provider shall maintain a file that contains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physical examination report within six months of becoming registered. Acceptable physical examinations shall be documented on the Child Care Provider Physical Examination Report form. All children residing in the household must have the medical documentation outlined in paragraphs </w:t>
      </w:r>
      <w:hyperlink r:id="rId24">
        <w:r>
          <w:rPr>
            <w:rStyle w:val="Hyperlink"/>
            <w:rFonts w:ascii="Times New Roman" w:hAnsi="Times New Roman"/>
            <w:b w:val="false"/>
            <w:i w:val="false"/>
            <w:color w:val="000000"/>
            <w:sz w:val="24"/>
          </w:rPr>
          <w:t>110.9(4)</w:t>
        </w:r>
      </w:hyperlink>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xml:space="preserve"> and </w:t>
      </w:r>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i-PoWeR records or certificates verifying required training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110.9(2)</w:t>
      </w:r>
      <w:r>
        <w:rPr>
          <w:rFonts w:ascii="Times New Roman" w:hAnsi="Times New Roman"/>
          <w:b w:val="false"/>
          <w:i w:val="false"/>
          <w:color w:val="000000"/>
          <w:sz w:val="24"/>
        </w:rPr>
        <w:t> </w:t>
      </w:r>
      <w:r>
        <w:rPr>
          <w:rFonts w:ascii="Times New Roman" w:hAnsi="Times New Roman"/>
          <w:b w:val="false"/>
          <w:i w:val="false"/>
          <w:color w:val="000000"/>
          <w:sz w:val="24"/>
        </w:rPr>
        <w:t>An individual file for each staff assistant in a child development home shall be maintained and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Documentation from the department that confirms the required record checks have been completed and authorizes or conditionally limits the person’s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completed Child Care Provider Physical Examination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of a minimum of two hours of approved training relating to the identification and reporting of child abuse as required by Iowa Code section </w:t>
      </w:r>
      <w:hyperlink r:id="rId25">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110.9(3)</w:t>
      </w:r>
      <w:r>
        <w:rPr>
          <w:rFonts w:ascii="Times New Roman" w:hAnsi="Times New Roman"/>
          <w:b w:val="false"/>
          <w:i w:val="false"/>
          <w:color w:val="000000"/>
          <w:sz w:val="24"/>
        </w:rPr>
        <w:t> </w:t>
      </w:r>
      <w:r>
        <w:rPr>
          <w:rFonts w:ascii="Times New Roman" w:hAnsi="Times New Roman"/>
          <w:b w:val="false"/>
          <w:i w:val="false"/>
          <w:color w:val="000000"/>
          <w:sz w:val="24"/>
        </w:rPr>
        <w:t>An individual file for each substitute in a child development home shall be maintained and shall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Documentation from the department that confirms the required record checks have been completed and authorizes or conditionally limits the person’s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completed Child Care Provider Physical Examination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of a minimum of two hours of approved training relating to the identification and reporting of child abuse as required by Iowa Code section </w:t>
      </w:r>
      <w:hyperlink r:id="rId26">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Certification in first aid and CPR.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Certification or other documentation that minimum health and safety training has been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110.9(4)</w:t>
      </w:r>
      <w:r>
        <w:rPr>
          <w:rFonts w:ascii="Times New Roman" w:hAnsi="Times New Roman"/>
          <w:b w:val="false"/>
          <w:i w:val="false"/>
          <w:color w:val="000000"/>
          <w:sz w:val="24"/>
        </w:rPr>
        <w:t> </w:t>
      </w:r>
      <w:r>
        <w:rPr>
          <w:rFonts w:ascii="Times New Roman" w:hAnsi="Times New Roman"/>
          <w:b w:val="false"/>
          <w:i w:val="false"/>
          <w:color w:val="000000"/>
          <w:sz w:val="24"/>
        </w:rPr>
        <w:t>Children’s files. An individual file for each child shall be maintained and updated annually or when the provider becomes aware of changes. If the child meets the definition of homelessness as defined by Section 725(2) of the McKinney-Vento Homeless Education Assistance Act as amended to August 1, 2026, the family shall receive a 60-day grace period to obtain medical documentation. The file shall contain: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Identifying information including at a minimum the child’s name, birth date, and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Parent/guardian contact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Emergency contacts and persons who can pick up the child as authorized by the 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Contact information and authorization of emergency medical and dental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admission physical examination report signed by a licensed medical doctor, doctor of osteopathy, chiropractor, physician associate, or advanced registered nurse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date of the physical examination cannot be more than 12 months before the child’s first day of attendance at the child development home or non-regulated child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written report shall include the child’s past health history; status of the child’s present health, allergies, and restrictive conditions; and recommendations for continued care when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a child who is five years of age or older and enrolled in school, a statement of health status signed by the parent or legal guardian may be substituted for the physical examination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examination report or statement of health status shall be on file before the child’s first day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For children under the age of six, a statement of health condition signed by a licensed medical doctor, doctor of osteopathy, chiropractor, physician associate, or advanced registered nurse practitioner and submitted annually from the date of the admission physical examination. For a child who is enrolled in school, a statement of health status signed by the parent or legal guardian may be substituted for the statement of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For each school-age child, on the first day of attendance, documentation of a physical examination that was completed at the time of school enrollment or since.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signed and dated immunization certificate provided by the department. For the school-age child, a copy of the most recent immunization record shall be acceptable. Documentation of a valid certificate of immunization exemption (religious or medical) or provisional certificate of immunization may be submitted in lieu of a certificate of immunization.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For any child with allergies, a written emergency care plan in case of an allergic reaction. A copy of this information shall accompany the child if the child leaves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Documentation that is signed by the parent and names of persons authorized to pick up the child. The authorization shall include the name, telephone number, and relationship of the authorized person to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Written permission from the parent for the child to attend activities away from the child development home or nonregistered child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Injury report forms documenting injuries requiring first aid or medical care.</w:t>
      </w:r>
    </w:p>
    <w:p>
      <w:pPr>
        <w:spacing w:before="0" w:after="0" w:line="480"/>
        <w:ind w:left="120"/>
        <w:jc w:val="both"/>
      </w:pPr>
      <w:r>
        <w:rPr>
          <w:rFonts w:ascii="Times New Roman" w:hAnsi="Times New Roman"/>
          <w:b/>
          <w:i w:val="false"/>
          <w:color w:val="000000"/>
          <w:sz w:val="24"/>
        </w:rPr>
        <w:t>441—110.10</w:t>
      </w:r>
      <w:r>
        <w:rPr>
          <w:rFonts w:ascii="Times New Roman" w:hAnsi="Times New Roman"/>
          <w:b/>
          <w:i w:val="false"/>
          <w:color w:val="000000"/>
          <w:sz w:val="24"/>
        </w:rPr>
        <w:t xml:space="preserve">(237A) </w:t>
      </w:r>
      <w:r>
        <w:rPr>
          <w:rFonts w:ascii="Times New Roman" w:hAnsi="Times New Roman"/>
          <w:b/>
          <w:i w:val="false"/>
          <w:color w:val="000000"/>
          <w:sz w:val="24"/>
        </w:rPr>
        <w:t xml:space="preserve">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110.10(1)</w:t>
      </w:r>
      <w:r>
        <w:rPr>
          <w:rFonts w:ascii="Times New Roman" w:hAnsi="Times New Roman"/>
          <w:b w:val="false"/>
          <w:i w:val="false"/>
          <w:color w:val="000000"/>
          <w:sz w:val="24"/>
        </w:rPr>
        <w:t> </w:t>
      </w:r>
      <w:r>
        <w:rPr>
          <w:rFonts w:ascii="Times New Roman" w:hAnsi="Times New Roman"/>
          <w:b w:val="false"/>
          <w:i/>
          <w:color w:val="000000"/>
          <w:sz w:val="24"/>
        </w:rPr>
        <w:t xml:space="preserve">Required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Prior to registration or approval as a nonregistered child care home, the provider shall complete minimum health and safety trainings, approved by the department, in all of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Prevention and control of infectious disease, including immunizations.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Prevention of sudden infant death syndrome and use of safe sleep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Administration of medication, consistent with standards for parental consent.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Prevention of and response to emergencies due to food and allergic reactions.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Building and physical-premises safety, including identification of and protection from hazards that can cause bodily injury, such as electrical hazards, bodies of water, and vehicular traffic.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Prevention of shaken baby syndrome and abusive head trauma.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Emergency preparedness and response planning for emergencies resulting from a natural disaster or a human-caused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Handling and storage of hazardous materials and the appropriate disposal of biocontaminants.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Precautions in transporting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Child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registration or approval as a nonregistered child care home, the provider shall complete two hours of Iowa’s training for mandatory reporting of child abuse as required by Iowa Code section </w:t>
      </w:r>
      <w:hyperlink r:id="rId27">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The provider shall maintain a valid certificate indicating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Prior to registration or approval as a nonregistered child care home, the provider shall complete pediatric first aid and pediatric CPR training that meets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Training shall be provided by a nationally-recognized training organization, such as the American Red Cross, American Heart Association, National Safety Council, Health and Safety Institute (HSI), or by an equivalent trainer using curriculum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a valid certificate indicating the date of first aid training and 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a valid certificate indicating the date of CPR training and 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provider must earn 12 contact hours of training each calendar year from approved subject areas from the Council for Professional Recognition or approved content areas from the National Afterschool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During each calendar year, the nonregistered child care home provider shall receive a minimum of three hours of training from approved content areas. If course content overlaps between calendar years, hours may still count toward professional development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Minimum health and safety training may be required if content has significant changes that the department warrants that the training be renewed.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child development home provider who has completed training through a child care resource and referral agency or community college within six months prior to initial registration shall be permitted to count the training toward the provider’s total training required during the initial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110.10(2)</w:t>
      </w:r>
      <w:r>
        <w:rPr>
          <w:rFonts w:ascii="Times New Roman" w:hAnsi="Times New Roman"/>
          <w:b w:val="false"/>
          <w:i w:val="false"/>
          <w:color w:val="000000"/>
          <w:sz w:val="24"/>
        </w:rPr>
        <w:t> </w:t>
      </w:r>
      <w:r>
        <w:rPr>
          <w:rFonts w:ascii="Times New Roman" w:hAnsi="Times New Roman"/>
          <w:b w:val="false"/>
          <w:i/>
          <w:color w:val="000000"/>
          <w:sz w:val="24"/>
        </w:rPr>
        <w:t xml:space="preserve">Approved trainings.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Professional development contact hours can be coaching, education, or training provided by a department-approved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Coaching contact hours may only be used to meet up to half of an individual’s annual professional development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may randomly monitor any state-approved professional development for quality control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Professional development conducted with staff during the hours of operation of the facility, during staff lunch hours, or while children are resting cannot diminish supervision provided to children. The provider cannot be actively engaged in care and supervision while simultaneously participating in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professional development organization not approved by the department may submit for review to the department a request for child care training approval. All approvals unless otherwise specified shall be valid for five years. The department will issue its decision within 30 business days of receipt of a complete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Department-approved entities must provide participants a professional development certificate for approved professional development contact hours.</w:t>
      </w:r>
    </w:p>
    <w:p>
      <w:pPr>
        <w:spacing w:before="0" w:after="0" w:line="480"/>
        <w:ind w:left="120"/>
        <w:jc w:val="both"/>
      </w:pPr>
      <w:r>
        <w:rPr>
          <w:rFonts w:ascii="Times New Roman" w:hAnsi="Times New Roman"/>
          <w:b/>
          <w:i w:val="false"/>
          <w:color w:val="000000"/>
          <w:sz w:val="24"/>
        </w:rPr>
        <w:t>441—110.11</w:t>
      </w:r>
      <w:r>
        <w:rPr>
          <w:rFonts w:ascii="Times New Roman" w:hAnsi="Times New Roman"/>
          <w:b/>
          <w:i w:val="false"/>
          <w:color w:val="000000"/>
          <w:sz w:val="24"/>
        </w:rPr>
        <w:t xml:space="preserve">(237A) </w:t>
      </w:r>
      <w:r>
        <w:rPr>
          <w:rFonts w:ascii="Times New Roman" w:hAnsi="Times New Roman"/>
          <w:b/>
          <w:i w:val="false"/>
          <w:color w:val="000000"/>
          <w:sz w:val="24"/>
        </w:rPr>
        <w:t xml:space="preserve">Child development home registration; child care assistance provider agreement and payment application for nonregistered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110.11(1)</w:t>
      </w:r>
      <w:r>
        <w:rPr>
          <w:rFonts w:ascii="Times New Roman" w:hAnsi="Times New Roman"/>
          <w:b w:val="false"/>
          <w:i w:val="false"/>
          <w:color w:val="000000"/>
          <w:sz w:val="24"/>
        </w:rPr>
        <w:t> </w:t>
      </w:r>
      <w:r>
        <w:rPr>
          <w:rFonts w:ascii="Times New Roman" w:hAnsi="Times New Roman"/>
          <w:b w:val="false"/>
          <w:i w:val="false"/>
          <w:color w:val="000000"/>
          <w:sz w:val="24"/>
        </w:rPr>
        <w:t>Child development home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issue a Certificate of Registration form when an applicant meets all requirements for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Registration will be denied or revoked if the department finds a hazard to the safety and well-being of a child and the provider cannot correct or refuses to correct the hazard, even though the hazard may not have been specifically listed under the health and safety rules. Registration may also be denied or revoked if the department determines that the provider has failed to comply with standards imposed by law and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110.11(2)</w:t>
      </w:r>
      <w:r>
        <w:rPr>
          <w:rFonts w:ascii="Times New Roman" w:hAnsi="Times New Roman"/>
          <w:b w:val="false"/>
          <w:i w:val="false"/>
          <w:color w:val="000000"/>
          <w:sz w:val="24"/>
        </w:rPr>
        <w:t> </w:t>
      </w:r>
      <w:r>
        <w:rPr>
          <w:rFonts w:ascii="Times New Roman" w:hAnsi="Times New Roman"/>
          <w:b w:val="false"/>
          <w:i w:val="false"/>
          <w:color w:val="000000"/>
          <w:sz w:val="24"/>
        </w:rPr>
        <w:t>Child care assistance provider agreement and payment application for nonregistered providers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approve a payment agreement application when an applicant meets the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child care assistance provider agreement will be denied or revoked if the department finds a hazard to the safety and well-being of a child and the provider cannot correct or refuses to correct the hazard, even though the hazard may not have been specifically listed under the health and safety rules. The child care assistance provider agreement may also be denied or revoked if the department determines that the provider has failed to comply with standards imposed by law and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110.11(3)</w:t>
      </w:r>
      <w:r>
        <w:rPr>
          <w:rFonts w:ascii="Times New Roman" w:hAnsi="Times New Roman"/>
          <w:b w:val="false"/>
          <w:i w:val="false"/>
          <w:color w:val="000000"/>
          <w:sz w:val="24"/>
        </w:rPr>
        <w:t> </w:t>
      </w:r>
      <w:r>
        <w:rPr>
          <w:rFonts w:ascii="Times New Roman" w:hAnsi="Times New Roman"/>
          <w:b w:val="false"/>
          <w:i w:val="false"/>
          <w:color w:val="000000"/>
          <w:sz w:val="24"/>
        </w:rPr>
        <w:t>Record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State and national record checks. </w:t>
      </w:r>
      <w:r>
        <w:rPr>
          <w:rFonts w:ascii="Times New Roman" w:hAnsi="Times New Roman"/>
          <w:b w:val="false"/>
          <w:i w:val="false"/>
          <w:color w:val="000000"/>
          <w:sz w:val="24"/>
        </w:rPr>
        <w:t xml:space="preserve">The department will conduct Iowa criminal history record and child abuse record checks for each registrant, substitute or staff member, anyone living in the home who is 14 years of age or older, and anyone having access to a child when the child is alone. The department will conduct national criminal history record checks, based on fingerprints, for each registrant, substitute or staff member, anyone living in the home who is 18 years of age or older, and anyone 18 years of age or older having access to a child when the child is alone. In accordance with Iowa Code section </w:t>
      </w:r>
      <w:hyperlink r:id="rId28">
        <w:r>
          <w:rPr>
            <w:rStyle w:val="Hyperlink"/>
            <w:rFonts w:ascii="Times New Roman" w:hAnsi="Times New Roman"/>
            <w:b w:val="false"/>
            <w:i w:val="false"/>
            <w:color w:val="000000"/>
            <w:sz w:val="24"/>
          </w:rPr>
          <w:t>726.23</w:t>
        </w:r>
      </w:hyperlink>
      <w:r>
        <w:rPr>
          <w:rFonts w:ascii="Times New Roman" w:hAnsi="Times New Roman"/>
          <w:b w:val="false"/>
          <w:i w:val="false"/>
          <w:color w:val="000000"/>
          <w:sz w:val="24"/>
        </w:rPr>
        <w:t>, minors under the age of 18 will not be subject to the fingerprint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purpose of these record checks is to determine whether a person has committed a transgression that prohibits or limits the person’s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may also conduct criminal history record and child abuse record checks in other states and may conduct dependent adult abuse, sex offender registry, and other public or civil offense record checks in Iowa or other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Authorization. </w:t>
      </w:r>
      <w:r>
        <w:rPr>
          <w:rFonts w:ascii="Times New Roman" w:hAnsi="Times New Roman"/>
          <w:b w:val="false"/>
          <w:i w:val="false"/>
          <w:color w:val="000000"/>
          <w:sz w:val="24"/>
        </w:rPr>
        <w:t>The person subject to record checks shall complete the Record Check Authorization form, Waiver Agreement form, federal fingerprint card, and any other forms required by the department of public safety to authorize the release of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Iowa records checks. </w:t>
      </w:r>
      <w:r>
        <w:rPr>
          <w:rFonts w:ascii="Times New Roman" w:hAnsi="Times New Roman"/>
          <w:b w:val="false"/>
          <w:i w:val="false"/>
          <w:color w:val="000000"/>
          <w:sz w:val="24"/>
        </w:rPr>
        <w:t>Checks and evaluations of Iowa child abuse and criminal history records will be completed before the person’s involvement with child care. Iowa records checks will be repeated at a minimum of every two years and when the department or the registrant becomes aware of any possible transgressions committed by that person. The department is responsible for the cost of conducting the Iowa records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National criminal history record checks. </w:t>
      </w:r>
      <w:r>
        <w:rPr>
          <w:rFonts w:ascii="Times New Roman" w:hAnsi="Times New Roman"/>
          <w:b w:val="false"/>
          <w:i w:val="false"/>
          <w:color w:val="000000"/>
          <w:sz w:val="24"/>
        </w:rPr>
        <w:t>Fingerprint-based checks of national criminal history records will also be completed before a person’s involvement with child care. This requirement will be for an initial application for registration or a renewal application for registration. The national criminal history record check will be repeated for each person subject to the check every four years and when the department or registrant becomes aware of any new transgressions committed by that person in another state. The department is responsible for the cost of conducting the national criminal history record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registrant/provider is responsible for any costs associated with the taking of fingerprints of all persons subject to record checks and for submitting the fingerprints to the department so that the national criminal history record check can be completed. Fingerprints may be taken (rolled) by law enforcement agencies or by agencies or companies that specialize in taking fingerprints and are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provide fingerprints to the department of public safety no later than ten business days after receipt of the fingerprint cards. The department will submit the fingerprints on forms or in a manner prescribed by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department may rely on the results of previously conducted national criminal history record checks when a person subject to a record check in one child development home or child care home submits a request for involvement with child care in another child development home or child care home, so long as the person’s national criminal history record check is within the allowable four-year time frame. All initial or new applications shall require a new national criminal history record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Mandatory and mandatory time-limited prohibition. </w:t>
      </w:r>
      <w:r>
        <w:rPr>
          <w:rFonts w:ascii="Times New Roman" w:hAnsi="Times New Roman"/>
          <w:b w:val="false"/>
          <w:i w:val="false"/>
          <w:color w:val="000000"/>
          <w:sz w:val="24"/>
        </w:rPr>
        <w:t xml:space="preserve">A person with any convictions or founded abuse reports as defined in Iowa Code section </w:t>
      </w:r>
      <w:hyperlink r:id="rId29">
        <w:r>
          <w:rPr>
            <w:rStyle w:val="Hyperlink"/>
            <w:rFonts w:ascii="Times New Roman" w:hAnsi="Times New Roman"/>
            <w:b w:val="false"/>
            <w:i w:val="false"/>
            <w:color w:val="000000"/>
            <w:sz w:val="24"/>
          </w:rPr>
          <w:t>237A.5(2)</w:t>
        </w:r>
      </w:hyperlink>
      <w:r>
        <w:rPr>
          <w:rFonts w:ascii="Times New Roman" w:hAnsi="Times New Roman"/>
          <w:b w:val="false"/>
          <w:i/>
          <w:color w:val="000000"/>
          <w:sz w:val="24"/>
        </w:rPr>
        <w:t>“i”</w:t>
      </w:r>
      <w:r>
        <w:rPr>
          <w:rFonts w:ascii="Times New Roman" w:hAnsi="Times New Roman"/>
          <w:b w:val="false"/>
          <w:i w:val="false"/>
          <w:color w:val="000000"/>
          <w:sz w:val="24"/>
        </w:rPr>
        <w:t xml:space="preserve"> is prohibited from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Evaluation required. </w:t>
      </w:r>
      <w:r>
        <w:rPr>
          <w:rFonts w:ascii="Times New Roman" w:hAnsi="Times New Roman"/>
          <w:b w:val="false"/>
          <w:i w:val="false"/>
          <w:color w:val="000000"/>
          <w:sz w:val="24"/>
        </w:rPr>
        <w:t>For all other transgressions, and as requested, the department will evaluate the transgression and make a decision about the person’s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with the transgression shall complete and return the Record Check Evaluation form within ten calendar days of the date on the form. The department will use the information the person with the transgression provides on this form to assist in the evaluation. Failure of the person with the transgression to complete and return this form within ten calendar days of the date on the form shall result in denial or revocation of the registration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may use information from the department’s case records in performing the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 a person subject to a record check has a transgression that has been determined in a previous evaluation not to warrant prohibition of the person’s involvement with child care and the person has no subsequent transgressions, an exemption from reevaluation of the latest record check is authorized. The person may commence employment with another child care facility in accordance with the department’s previous evaluation. The exemption is subject to all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position with the subsequent employer is substantially the same or has the same job responsibilities as the position for which the previous evaluation was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restrictions placed on the person’s employment by the department in the previous evaluation shall remain applicable in the person’s subsequent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person subject to the record check has maintained a copy of the previous evaluation and provides the evaluation to the subsequent employer or the previous employer provides to the subsequent employer the previous evaluation from the person’s personnel file pursuant to the person’s authorization. If a physical copy of the previous evaluation is not provided to the subsequent employer, the record check shall be reevaluated.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subsequent employer may request a reevaluation of the record check and may employ the person while the reevaluation is being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Evaluation decision. </w:t>
      </w:r>
      <w:r>
        <w:rPr>
          <w:rFonts w:ascii="Times New Roman" w:hAnsi="Times New Roman"/>
          <w:b w:val="false"/>
          <w:i w:val="false"/>
          <w:color w:val="000000"/>
          <w:sz w:val="24"/>
        </w:rPr>
        <w:t>The department has final authority in determining whether prohibition of the person’s involvement with child care is warranted and in developing any conditional requirements or corrective action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Within 30 calendar days of receipt of a completed record check evaluation, the department will make a decision on the person’s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Within 30 calendar days of receipt of a completed record check evaluation, the department will mail to the person subject to an evaluation a record check decision that explains the decision reached regarding the evaluation of the transgression and a notice of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department will issue a notice of decision prohibiting involvement with child care when the person subject to an evaluation fails to complete the record check evaluation within the ten-calendar-day time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department determines, through the record check evaluation process, that the person’s prohibition of involvement with child care is warranted, the person shall be prohibited from involvement with child care. The department may identify a period of time after which the person may request that another record check and evaluation be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department may permit a person who is evaluated to maintain involvement with child care if the person complies with the department’s conditions relating to the person’s involvement with child care, which may include completion of additional training or an individually designed corrective action plan, or both. For an employee of a registrant, these conditional requirements shall be developed with the registrant. All conditions placed on a person’s involvement with child care shall be communicated, in writing, to both the person subject to the evaluation and the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department will reevaluate any transgressions where a state or federal law change requires different considerations of the transgression than had been previously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Notice to parents of abuse in care. </w:t>
      </w:r>
      <w:r>
        <w:rPr>
          <w:rFonts w:ascii="Times New Roman" w:hAnsi="Times New Roman"/>
          <w:b w:val="false"/>
          <w:i w:val="false"/>
          <w:color w:val="000000"/>
          <w:sz w:val="24"/>
        </w:rPr>
        <w:t>If there has been founded child abuse committed by an owner, director, or staff member of the child care facility or child care home, the department’s administrator shall notify the parents, guardians, and legal custodians of each child for whom the facility or child care home provides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child care facility or child care home shall cooperate with the department in providing the names and addresses of the parent, guardian, or custodian of each child for whom the facility provides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This information shall be provided to the department within ten calendar days from the date of the initial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Failure or refusal to provide the requested information may result in cancellation of the provider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department has denied or revoked a registration or child care assistance provider agreement because the provider has continually or repeatedly failed to operate in compliance with Iowa Code chapter </w:t>
      </w:r>
      <w:hyperlink r:id="rId30">
        <w:r>
          <w:rPr>
            <w:rStyle w:val="Hyperlink"/>
            <w:rFonts w:ascii="Times New Roman" w:hAnsi="Times New Roman"/>
            <w:b w:val="false"/>
            <w:i w:val="false"/>
            <w:color w:val="000000"/>
            <w:sz w:val="24"/>
          </w:rPr>
          <w:t>237A</w:t>
        </w:r>
      </w:hyperlink>
      <w:r>
        <w:rPr>
          <w:rFonts w:ascii="Times New Roman" w:hAnsi="Times New Roman"/>
          <w:b w:val="false"/>
          <w:i w:val="false"/>
          <w:color w:val="000000"/>
          <w:sz w:val="24"/>
        </w:rPr>
        <w:t xml:space="preserve"> and this chapter, the person cannot own or operate a registered facility for a period of 12 months from the date of denial or revocation. The department will not act on an application for registration submitted by the applicant or provider during the 12-month period. The applicant shall be prohibited from involvement with child care unless the department specifically permits the involvement.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110.11(5)</w:t>
      </w:r>
      <w:r>
        <w:rPr>
          <w:rFonts w:ascii="Times New Roman" w:hAnsi="Times New Roman"/>
          <w:b w:val="false"/>
          <w:i w:val="false"/>
          <w:color w:val="000000"/>
          <w:sz w:val="24"/>
        </w:rPr>
        <w:t> </w:t>
      </w:r>
      <w:r>
        <w:rPr>
          <w:rFonts w:ascii="Times New Roman" w:hAnsi="Times New Roman"/>
          <w:b w:val="false"/>
          <w:i w:val="false"/>
          <w:color w:val="000000"/>
          <w:sz w:val="24"/>
        </w:rPr>
        <w:t>If a certificate of registration or child care assistance provider agreement is revoked, the department will notify the parent, guardian, or legal custodian of each child for whom the facility provides care. The provider shall cooperate with the department in providing the name and address of the parent, guardian, or legal custodian of each child for whom the facility provides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110.11(6)</w:t>
      </w:r>
      <w:r>
        <w:rPr>
          <w:rFonts w:ascii="Times New Roman" w:hAnsi="Times New Roman"/>
          <w:b w:val="false"/>
          <w:i w:val="false"/>
          <w:color w:val="000000"/>
          <w:sz w:val="24"/>
        </w:rPr>
        <w:t> </w:t>
      </w:r>
      <w:r>
        <w:rPr>
          <w:rFonts w:ascii="Times New Roman" w:hAnsi="Times New Roman"/>
          <w:b w:val="false"/>
          <w:i w:val="false"/>
          <w:color w:val="000000"/>
          <w:sz w:val="24"/>
        </w:rPr>
        <w:t>Required notifications to the department. The provider shall, within ten days, notify the department of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Changes in assistants or substitutes;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Changes in household membership;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Address changes;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Criminal convictions.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110.11(7)</w:t>
      </w:r>
      <w:r>
        <w:rPr>
          <w:rFonts w:ascii="Times New Roman" w:hAnsi="Times New Roman"/>
          <w:b w:val="false"/>
          <w:i w:val="false"/>
          <w:color w:val="000000"/>
          <w:sz w:val="24"/>
        </w:rPr>
        <w:t> </w:t>
      </w:r>
      <w:r>
        <w:rPr>
          <w:rFonts w:ascii="Times New Roman" w:hAnsi="Times New Roman"/>
          <w:b w:val="false"/>
          <w:i w:val="false"/>
          <w:color w:val="000000"/>
          <w:sz w:val="24"/>
        </w:rPr>
        <w:t>No assistant, substitute, or co-provider shall be utilized in the care of children and no person shall be permitted to reside in the household until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110.11(8)</w:t>
      </w:r>
      <w:r>
        <w:rPr>
          <w:rFonts w:ascii="Times New Roman" w:hAnsi="Times New Roman"/>
          <w:b w:val="false"/>
          <w:i w:val="false"/>
          <w:color w:val="000000"/>
          <w:sz w:val="24"/>
        </w:rPr>
        <w:t> </w:t>
      </w:r>
      <w:r>
        <w:rPr>
          <w:rFonts w:ascii="Times New Roman" w:hAnsi="Times New Roman"/>
          <w:b w:val="false"/>
          <w:i w:val="false"/>
          <w:color w:val="000000"/>
          <w:sz w:val="24"/>
        </w:rPr>
        <w:t>If the provider does not notify the department of changes within ten days, the provider may be subject to revocation of registration or to recoupment of child care assistance provided,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110.11(9)</w:t>
      </w:r>
      <w:r>
        <w:rPr>
          <w:rFonts w:ascii="Times New Roman" w:hAnsi="Times New Roman"/>
          <w:b w:val="false"/>
          <w:i w:val="false"/>
          <w:color w:val="000000"/>
          <w:sz w:val="24"/>
        </w:rPr>
        <w:t> </w:t>
      </w:r>
      <w:r>
        <w:rPr>
          <w:rFonts w:ascii="Times New Roman" w:hAnsi="Times New Roman"/>
          <w:b w:val="false"/>
          <w:i w:val="false"/>
          <w:color w:val="000000"/>
          <w:sz w:val="24"/>
        </w:rPr>
        <w:t>Notice of child development home revocation. A notice received by an owner or operator of a child development home initiating action to deny or revoke the home’s registration shall be conspicuously posted where it can be read by parents or any member of the public. The letter shall remain posted until resolution of the action to deny or revoke an owner’s or operator’s certificate of registration.</w:t>
      </w:r>
    </w:p>
    <w:p>
      <w:pPr>
        <w:spacing w:before="0" w:after="0" w:line="480"/>
        <w:ind w:left="120"/>
        <w:jc w:val="both"/>
      </w:pPr>
      <w:r>
        <w:rPr>
          <w:rFonts w:ascii="Times New Roman" w:hAnsi="Times New Roman"/>
          <w:b/>
          <w:i w:val="false"/>
          <w:color w:val="000000"/>
          <w:sz w:val="24"/>
        </w:rPr>
        <w:t>441—110.12</w:t>
      </w:r>
      <w:r>
        <w:rPr>
          <w:rFonts w:ascii="Times New Roman" w:hAnsi="Times New Roman"/>
          <w:b/>
          <w:i w:val="false"/>
          <w:color w:val="000000"/>
          <w:sz w:val="24"/>
        </w:rPr>
        <w:t xml:space="preserve">(237A) </w:t>
      </w:r>
      <w:r>
        <w:rPr>
          <w:rFonts w:ascii="Times New Roman" w:hAnsi="Times New Roman"/>
          <w:b/>
          <w:i w:val="false"/>
          <w:color w:val="000000"/>
          <w:sz w:val="24"/>
        </w:rPr>
        <w:t xml:space="preserve">Complaints. </w:t>
      </w:r>
      <w:r>
        <w:rPr>
          <w:rFonts w:ascii="Times New Roman" w:hAnsi="Times New Roman"/>
          <w:b w:val="false"/>
          <w:i w:val="false"/>
          <w:color w:val="000000"/>
          <w:sz w:val="24"/>
        </w:rPr>
        <w:t>The department will conduct a visit when a complaint is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110.12(1)</w:t>
      </w:r>
      <w:r>
        <w:rPr>
          <w:rFonts w:ascii="Times New Roman" w:hAnsi="Times New Roman"/>
          <w:b w:val="false"/>
          <w:i w:val="false"/>
          <w:color w:val="000000"/>
          <w:sz w:val="24"/>
        </w:rPr>
        <w:t> </w:t>
      </w:r>
      <w:r>
        <w:rPr>
          <w:rFonts w:ascii="Times New Roman" w:hAnsi="Times New Roman"/>
          <w:b w:val="false"/>
          <w:i w:val="false"/>
          <w:color w:val="000000"/>
          <w:sz w:val="24"/>
        </w:rPr>
        <w:t>After each complaint visit, the department will document whether the child development home or nonregistered child care home was in compliance with health and safety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110.12(2)</w:t>
      </w:r>
      <w:r>
        <w:rPr>
          <w:rFonts w:ascii="Times New Roman" w:hAnsi="Times New Roman"/>
          <w:b w:val="false"/>
          <w:i w:val="false"/>
          <w:color w:val="000000"/>
          <w:sz w:val="24"/>
        </w:rPr>
        <w:t> </w:t>
      </w:r>
      <w:r>
        <w:rPr>
          <w:rFonts w:ascii="Times New Roman" w:hAnsi="Times New Roman"/>
          <w:b w:val="false"/>
          <w:i w:val="false"/>
          <w:color w:val="000000"/>
          <w:sz w:val="24"/>
        </w:rPr>
        <w:t>The written documentation of the department’s conclusion as to whether the child development home or nonregistered child care home was in compliance with requirements will be available to the public. However, the identity of all complainants will be confidential unless expressly waived by the complainant.</w:t>
      </w:r>
    </w:p>
    <w:p>
      <w:pPr>
        <w:spacing w:before="0" w:after="0" w:line="480"/>
        <w:ind w:left="120"/>
        <w:jc w:val="both"/>
      </w:pPr>
      <w:r>
        <w:rPr>
          <w:rFonts w:ascii="Times New Roman" w:hAnsi="Times New Roman"/>
          <w:b/>
          <w:i w:val="false"/>
          <w:color w:val="000000"/>
          <w:sz w:val="24"/>
        </w:rPr>
        <w:t>441—110.13</w:t>
      </w:r>
      <w:r>
        <w:rPr>
          <w:rFonts w:ascii="Times New Roman" w:hAnsi="Times New Roman"/>
          <w:b/>
          <w:i w:val="false"/>
          <w:color w:val="000000"/>
          <w:sz w:val="24"/>
        </w:rPr>
        <w:t xml:space="preserve">(237A) </w:t>
      </w:r>
      <w:r>
        <w:rPr>
          <w:rFonts w:ascii="Times New Roman" w:hAnsi="Times New Roman"/>
          <w:b/>
          <w:i w:val="false"/>
          <w:color w:val="000000"/>
          <w:sz w:val="24"/>
        </w:rPr>
        <w:t xml:space="preserve">Additional requirements for child development home category A. </w:t>
      </w:r>
      <w:r>
        <w:rPr>
          <w:rFonts w:ascii="Times New Roman" w:hAnsi="Times New Roman"/>
          <w:b w:val="false"/>
          <w:i w:val="false"/>
          <w:color w:val="000000"/>
          <w:sz w:val="24"/>
        </w:rPr>
        <w:t xml:space="preserve">In addition to the requirements in rule </w:t>
      </w:r>
      <w:hyperlink r:id="rId31">
        <w:r>
          <w:rPr>
            <w:rStyle w:val="Hyperlink"/>
            <w:rFonts w:ascii="Times New Roman" w:hAnsi="Times New Roman"/>
            <w:b w:val="false"/>
            <w:i w:val="false"/>
            <w:color w:val="000000"/>
            <w:sz w:val="24"/>
          </w:rPr>
          <w:t>441—110.8</w:t>
        </w:r>
      </w:hyperlink>
      <w:r>
        <w:rPr>
          <w:rFonts w:ascii="Times New Roman" w:hAnsi="Times New Roman"/>
          <w:b w:val="false"/>
          <w:i w:val="false"/>
          <w:color w:val="000000"/>
          <w:sz w:val="24"/>
        </w:rPr>
        <w:t>(237A), a provider requesting registration in child development home category A shall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110.13(1)</w:t>
      </w:r>
      <w:r>
        <w:rPr>
          <w:rFonts w:ascii="Times New Roman" w:hAnsi="Times New Roman"/>
          <w:b w:val="false"/>
          <w:i w:val="false"/>
          <w:color w:val="000000"/>
          <w:sz w:val="24"/>
        </w:rPr>
        <w:t> </w:t>
      </w:r>
      <w:r>
        <w:rPr>
          <w:rFonts w:ascii="Times New Roman" w:hAnsi="Times New Roman"/>
          <w:b w:val="false"/>
          <w:i/>
          <w:color w:val="000000"/>
          <w:sz w:val="24"/>
        </w:rPr>
        <w:t xml:space="preserve">Limits on number of children in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more than six children not attending kindergarten or a higher grade level shall be present at any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Of these six children, no more than four children who are 24 months of age or younger shall be present at any one time. Of these four children, no more than three can be 12 months of age or younger.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addition to the six children not in school, no more than two children who attend school can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more than eight children shall be present at any one time when an emergency school closing is in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110.13(2)</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be at least 18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three written references that attest to character and ability to provide child care.</w:t>
      </w:r>
    </w:p>
    <w:p>
      <w:pPr>
        <w:spacing w:before="0" w:after="0" w:line="480"/>
        <w:ind w:left="120"/>
        <w:jc w:val="both"/>
      </w:pPr>
      <w:r>
        <w:rPr>
          <w:rFonts w:ascii="Times New Roman" w:hAnsi="Times New Roman"/>
          <w:b/>
          <w:i w:val="false"/>
          <w:color w:val="000000"/>
          <w:sz w:val="24"/>
        </w:rPr>
        <w:t>441—110.14</w:t>
      </w:r>
      <w:r>
        <w:rPr>
          <w:rFonts w:ascii="Times New Roman" w:hAnsi="Times New Roman"/>
          <w:b/>
          <w:i w:val="false"/>
          <w:color w:val="000000"/>
          <w:sz w:val="24"/>
        </w:rPr>
        <w:t xml:space="preserve">(237A) </w:t>
      </w:r>
      <w:r>
        <w:rPr>
          <w:rFonts w:ascii="Times New Roman" w:hAnsi="Times New Roman"/>
          <w:b/>
          <w:i w:val="false"/>
          <w:color w:val="000000"/>
          <w:sz w:val="24"/>
        </w:rPr>
        <w:t xml:space="preserve">Additional requirements for child development home category B. </w:t>
      </w:r>
      <w:r>
        <w:rPr>
          <w:rFonts w:ascii="Times New Roman" w:hAnsi="Times New Roman"/>
          <w:b w:val="false"/>
          <w:i w:val="false"/>
          <w:color w:val="000000"/>
          <w:sz w:val="24"/>
        </w:rPr>
        <w:t xml:space="preserve">In addition to the requirements in rule </w:t>
      </w:r>
      <w:hyperlink r:id="rId32">
        <w:r>
          <w:rPr>
            <w:rStyle w:val="Hyperlink"/>
            <w:rFonts w:ascii="Times New Roman" w:hAnsi="Times New Roman"/>
            <w:b w:val="false"/>
            <w:i w:val="false"/>
            <w:color w:val="000000"/>
            <w:sz w:val="24"/>
          </w:rPr>
          <w:t>441—110.8</w:t>
        </w:r>
      </w:hyperlink>
      <w:r>
        <w:rPr>
          <w:rFonts w:ascii="Times New Roman" w:hAnsi="Times New Roman"/>
          <w:b w:val="false"/>
          <w:i w:val="false"/>
          <w:color w:val="000000"/>
          <w:sz w:val="24"/>
        </w:rPr>
        <w:t>(237A), a provider requesting registration in child development home category B shall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110.14(1)</w:t>
      </w:r>
      <w:r>
        <w:rPr>
          <w:rFonts w:ascii="Times New Roman" w:hAnsi="Times New Roman"/>
          <w:b w:val="false"/>
          <w:i w:val="false"/>
          <w:color w:val="000000"/>
          <w:sz w:val="24"/>
        </w:rPr>
        <w:t> </w:t>
      </w:r>
      <w:r>
        <w:rPr>
          <w:rFonts w:ascii="Times New Roman" w:hAnsi="Times New Roman"/>
          <w:b w:val="false"/>
          <w:i/>
          <w:color w:val="000000"/>
          <w:sz w:val="24"/>
        </w:rPr>
        <w:t xml:space="preserve">Limits on number of children in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more than eight children not attending kindergarten or a higher grade level shall be present at any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Of these eight children, no more than four children who are 24 months of age or younger shall be present at any one time. Of these four children, no more than three can be 12 months of age or younger.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addition to the eight children not in school, no more than four children who attend school can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more than 12 children shall be present at any one time when an emergency school closing is in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more than eight children are present at any one time for a period of more than two hours, the provider shall be assisted by a department-approved assistant unless extra children are present as a result of an emergency school closing.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110.14(2)</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be at least 20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a high school diploma, a GED, or documentation of current or previous enrollment in credit-based coursework from a postsecondary educational institution that is an accredited college or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Two years of experience as a registered or nonregistered child care provider or a child care center experience,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child development associate credential or any two-year or four-year degree in a child care-related field and one year of experience as a registered or nonregistered child care home provider or child care center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110.14(3)</w:t>
      </w:r>
      <w:r>
        <w:rPr>
          <w:rFonts w:ascii="Times New Roman" w:hAnsi="Times New Roman"/>
          <w:b w:val="false"/>
          <w:i w:val="false"/>
          <w:color w:val="000000"/>
          <w:sz w:val="24"/>
        </w:rPr>
        <w:t> </w:t>
      </w:r>
      <w:r>
        <w:rPr>
          <w:rFonts w:ascii="Times New Roman" w:hAnsi="Times New Roman"/>
          <w:b w:val="false"/>
          <w:i/>
          <w:color w:val="000000"/>
          <w:sz w:val="24"/>
        </w:rPr>
        <w:t xml:space="preserve">Facility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35 square feet of child-use floor space for each child in care indoors and a minimum of 50 square feet per child in care outdoors.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home shall have a separate quiet area for sick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two direct exits to the outside from the main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exits shall terminate at grade level with permanent steps.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basement window may be used as an exit if the window can be opened from the inside without the use of tools and it provides a clear opening of not less than 20 inches in width, 24 inches in height, and 5.7 square feet in area. The bottom of the opening shall be not more than 44 inches above the floor, with permanent steps inside leading up to the window.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Occupancy above the second floor cannot be permitted for child care.</w:t>
      </w:r>
    </w:p>
    <w:p>
      <w:pPr>
        <w:spacing w:before="0" w:after="0" w:line="480"/>
        <w:ind w:left="120"/>
        <w:jc w:val="both"/>
      </w:pPr>
      <w:r>
        <w:rPr>
          <w:rFonts w:ascii="Times New Roman" w:hAnsi="Times New Roman"/>
          <w:b/>
          <w:i w:val="false"/>
          <w:color w:val="000000"/>
          <w:sz w:val="24"/>
        </w:rPr>
        <w:t>441—110.15</w:t>
      </w:r>
      <w:r>
        <w:rPr>
          <w:rFonts w:ascii="Times New Roman" w:hAnsi="Times New Roman"/>
          <w:b/>
          <w:i w:val="false"/>
          <w:color w:val="000000"/>
          <w:sz w:val="24"/>
        </w:rPr>
        <w:t xml:space="preserve">(237A) </w:t>
      </w:r>
      <w:r>
        <w:rPr>
          <w:rFonts w:ascii="Times New Roman" w:hAnsi="Times New Roman"/>
          <w:b/>
          <w:i w:val="false"/>
          <w:color w:val="000000"/>
          <w:sz w:val="24"/>
        </w:rPr>
        <w:t xml:space="preserve">Additional requirements for child development home category C without a co-provider. </w:t>
      </w:r>
      <w:r>
        <w:rPr>
          <w:rFonts w:ascii="Times New Roman" w:hAnsi="Times New Roman"/>
          <w:b w:val="false"/>
          <w:i w:val="false"/>
          <w:color w:val="000000"/>
          <w:sz w:val="24"/>
        </w:rPr>
        <w:t xml:space="preserve">In addition to the requirements in rule </w:t>
      </w:r>
      <w:hyperlink r:id="rId33">
        <w:r>
          <w:rPr>
            <w:rStyle w:val="Hyperlink"/>
            <w:rFonts w:ascii="Times New Roman" w:hAnsi="Times New Roman"/>
            <w:b w:val="false"/>
            <w:i w:val="false"/>
            <w:color w:val="000000"/>
            <w:sz w:val="24"/>
          </w:rPr>
          <w:t>441—110.8</w:t>
        </w:r>
      </w:hyperlink>
      <w:r>
        <w:rPr>
          <w:rFonts w:ascii="Times New Roman" w:hAnsi="Times New Roman"/>
          <w:b w:val="false"/>
          <w:i w:val="false"/>
          <w:color w:val="000000"/>
          <w:sz w:val="24"/>
        </w:rPr>
        <w:t>(237A), a provider requesting registration in child development home category C without a co-provider shall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110.15(1)</w:t>
      </w:r>
      <w:r>
        <w:rPr>
          <w:rFonts w:ascii="Times New Roman" w:hAnsi="Times New Roman"/>
          <w:b w:val="false"/>
          <w:i w:val="false"/>
          <w:color w:val="000000"/>
          <w:sz w:val="24"/>
        </w:rPr>
        <w:t> </w:t>
      </w:r>
      <w:r>
        <w:rPr>
          <w:rFonts w:ascii="Times New Roman" w:hAnsi="Times New Roman"/>
          <w:b w:val="false"/>
          <w:i/>
          <w:color w:val="000000"/>
          <w:sz w:val="24"/>
        </w:rPr>
        <w:t xml:space="preserve">Limits on number of children in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more than eight children not attending kindergarten or a higher grade level shall be present at any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Of these eight children, no more than four children who are 24 months of age or younger shall be present at any one time. Of these four children, no more than three can be 12 months of age or younger.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addition to the eight children not in school, no more than four children who attend school can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more than 12 children shall be present at any one time when an emergency school closing is in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more than eight children are present at any one time for a period of more than two hours, the provider shall be assisted by a department-approved assistant unless extra children are present as a result of an emergency school closing.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110.15(2)</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be at least 21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a high school diploma, a GED, or documentation of current or previous enrollment in credit-based coursework from a postsecondary educational institution that is an accredited college or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Four years of experience as a registered, nonregistered child care provider, child care center experience,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child development associate credential or any two-year or four-year degree in a child care-related field and four years of experience as a registered or nonregistered child care home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110.15(3)</w:t>
      </w:r>
      <w:r>
        <w:rPr>
          <w:rFonts w:ascii="Times New Roman" w:hAnsi="Times New Roman"/>
          <w:b w:val="false"/>
          <w:i w:val="false"/>
          <w:color w:val="000000"/>
          <w:sz w:val="24"/>
        </w:rPr>
        <w:t> </w:t>
      </w:r>
      <w:r>
        <w:rPr>
          <w:rFonts w:ascii="Times New Roman" w:hAnsi="Times New Roman"/>
          <w:b w:val="false"/>
          <w:i/>
          <w:color w:val="000000"/>
          <w:sz w:val="24"/>
        </w:rPr>
        <w:t xml:space="preserve">Facility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35 square feet of child-use floor space for each child in care indoors and a minimum of 50 square feet per child in care outdoors.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home shall have a separate quiet area for sick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two direct exits to the outside from the main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exits shall terminate at grade level with permanent steps.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basement window may be used as an exit if the window can be opened from the inside without the use of tools and it provides a clear opening of not less than 20 inches in width, 24 inches in height, and 5.7 square feet in area. The bottom of the opening shall be not more than 44 inches above the floor, with permanent steps inside leading up to the window.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Occupancy above the second floor cannot be permitted for child care.</w:t>
      </w:r>
    </w:p>
    <w:p>
      <w:pPr>
        <w:spacing w:before="0" w:after="0" w:line="480"/>
        <w:ind w:left="120"/>
        <w:jc w:val="both"/>
      </w:pPr>
      <w:r>
        <w:rPr>
          <w:rFonts w:ascii="Times New Roman" w:hAnsi="Times New Roman"/>
          <w:b/>
          <w:i w:val="false"/>
          <w:color w:val="000000"/>
          <w:sz w:val="24"/>
        </w:rPr>
        <w:t>441—110.16</w:t>
      </w:r>
      <w:r>
        <w:rPr>
          <w:rFonts w:ascii="Times New Roman" w:hAnsi="Times New Roman"/>
          <w:b/>
          <w:i w:val="false"/>
          <w:color w:val="000000"/>
          <w:sz w:val="24"/>
        </w:rPr>
        <w:t xml:space="preserve">(237A) </w:t>
      </w:r>
      <w:r>
        <w:rPr>
          <w:rFonts w:ascii="Times New Roman" w:hAnsi="Times New Roman"/>
          <w:b/>
          <w:i w:val="false"/>
          <w:color w:val="000000"/>
          <w:sz w:val="24"/>
        </w:rPr>
        <w:t xml:space="preserve">Additional requirements for child development home category C with co-provider. </w:t>
      </w:r>
      <w:r>
        <w:rPr>
          <w:rFonts w:ascii="Times New Roman" w:hAnsi="Times New Roman"/>
          <w:b w:val="false"/>
          <w:i w:val="false"/>
          <w:color w:val="000000"/>
          <w:sz w:val="24"/>
        </w:rPr>
        <w:t xml:space="preserve">In addition to the requirements in rule </w:t>
      </w:r>
      <w:hyperlink r:id="rId34">
        <w:r>
          <w:rPr>
            <w:rStyle w:val="Hyperlink"/>
            <w:rFonts w:ascii="Times New Roman" w:hAnsi="Times New Roman"/>
            <w:b w:val="false"/>
            <w:i w:val="false"/>
            <w:color w:val="000000"/>
            <w:sz w:val="24"/>
          </w:rPr>
          <w:t>441—110.8</w:t>
        </w:r>
      </w:hyperlink>
      <w:r>
        <w:rPr>
          <w:rFonts w:ascii="Times New Roman" w:hAnsi="Times New Roman"/>
          <w:b w:val="false"/>
          <w:i w:val="false"/>
          <w:color w:val="000000"/>
          <w:sz w:val="24"/>
        </w:rPr>
        <w:t>(237A), a provider requesting registration in child development home category C with a co-provider shall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110.16(1)</w:t>
      </w:r>
      <w:r>
        <w:rPr>
          <w:rFonts w:ascii="Times New Roman" w:hAnsi="Times New Roman"/>
          <w:b w:val="false"/>
          <w:i w:val="false"/>
          <w:color w:val="000000"/>
          <w:sz w:val="24"/>
        </w:rPr>
        <w:t> </w:t>
      </w:r>
      <w:r>
        <w:rPr>
          <w:rFonts w:ascii="Times New Roman" w:hAnsi="Times New Roman"/>
          <w:b w:val="false"/>
          <w:i/>
          <w:color w:val="000000"/>
          <w:sz w:val="24"/>
        </w:rPr>
        <w:t xml:space="preserve">Limits on number of children in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more than 14 children not attending kindergarten or a higher grade level shall be present at any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Of these 14 children, no more than 6 children who are 24 months of age or younger shall be present at any one time. Whenever four children who are under the age of 12 months are in care, both providers shall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addition to the 14 children not in school, no more than 2 children who attend school can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more than 16 children shall be present at any one time when an emergency school closing is in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more than eight children are present, both providers shall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110.16(2)</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be at least 21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a high school diploma, a GED, or documentation of current or previous enrollment in credit-based coursework from a postsecondary educational institution that is an accredited college or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Four years of experience as a registered or nonregistered child care provider or a child care center experience,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child development associate credential or any two-year or four-year degree in a child care- related field and four years of experience as a registered or nonregistered child care home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co-provider shall meet the requirements of subrule </w:t>
      </w:r>
      <w:hyperlink r:id="rId35">
        <w:r>
          <w:rPr>
            <w:rStyle w:val="Hyperlink"/>
            <w:rFonts w:ascii="Times New Roman" w:hAnsi="Times New Roman"/>
            <w:b w:val="false"/>
            <w:i w:val="false"/>
            <w:color w:val="000000"/>
            <w:sz w:val="24"/>
          </w:rPr>
          <w:t>110.14(2)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more than two named providers shall be allowed on a registration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110.16(3)</w:t>
      </w:r>
      <w:r>
        <w:rPr>
          <w:rFonts w:ascii="Times New Roman" w:hAnsi="Times New Roman"/>
          <w:b w:val="false"/>
          <w:i w:val="false"/>
          <w:color w:val="000000"/>
          <w:sz w:val="24"/>
        </w:rPr>
        <w:t> </w:t>
      </w:r>
      <w:r>
        <w:rPr>
          <w:rFonts w:ascii="Times New Roman" w:hAnsi="Times New Roman"/>
          <w:b w:val="false"/>
          <w:i/>
          <w:color w:val="000000"/>
          <w:sz w:val="24"/>
        </w:rPr>
        <w:t xml:space="preserve">Facility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35 square feet of child-use floor space for each child in care indoors, and a minimum of 50 square feet per child in care outdoors.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home shall have a separate quiet area for sick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two direct exits to the outside from the main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exits shall terminate at grade level with permanent steps.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basement window may be used as an exit if the window can be opened from the inside without the use of tools and it provides a clear opening of not less than 20 inches in width, 24 inches in height, and 5.7 square feet in area. The bottom of the opening shall be not more than 44 inches above the floor, with permanent steps inside leading up to the window.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Occupancy above the second floor cannot be permitted for child care.</w:t>
      </w:r>
    </w:p>
    <w:p>
      <w:pPr>
        <w:spacing w:before="0" w:after="0" w:line="480"/>
        <w:ind w:left="120"/>
        <w:jc w:val="both"/>
      </w:pPr>
      <w:r>
        <w:rPr>
          <w:rFonts w:ascii="Times New Roman" w:hAnsi="Times New Roman"/>
          <w:b/>
          <w:i w:val="false"/>
          <w:color w:val="000000"/>
          <w:sz w:val="24"/>
        </w:rPr>
        <w:t>441—110.17</w:t>
      </w:r>
      <w:r>
        <w:rPr>
          <w:rFonts w:ascii="Times New Roman" w:hAnsi="Times New Roman"/>
          <w:b/>
          <w:i w:val="false"/>
          <w:color w:val="000000"/>
          <w:sz w:val="24"/>
        </w:rPr>
        <w:t xml:space="preserve">(237A) </w:t>
      </w:r>
      <w:r>
        <w:rPr>
          <w:rFonts w:ascii="Times New Roman" w:hAnsi="Times New Roman"/>
          <w:b/>
          <w:i w:val="false"/>
          <w:color w:val="000000"/>
          <w:sz w:val="24"/>
        </w:rPr>
        <w:t xml:space="preserve">Relative care exemptions. </w:t>
      </w:r>
      <w:r>
        <w:rPr>
          <w:rFonts w:ascii="Times New Roman" w:hAnsi="Times New Roman"/>
          <w:b w:val="false"/>
          <w:i w:val="false"/>
          <w:color w:val="000000"/>
          <w:sz w:val="24"/>
        </w:rPr>
        <w:t xml:space="preserve">Relatives who are providing care for relative children as a nonregistered child care home are required to meet minimal health and safety standards as contained in the child care and development block grant under </w:t>
      </w:r>
      <w:r>
        <w:rPr>
          <w:rFonts w:ascii="Times New Roman" w:hAnsi="Times New Roman"/>
          <w:b w:val="false"/>
          <w:i w:val="false"/>
          <w:color w:val="000000"/>
          <w:sz w:val="24"/>
        </w:rPr>
        <w:t>45 CFR 98.41</w:t>
      </w:r>
      <w:r>
        <w:rPr>
          <w:rFonts w:ascii="Times New Roman" w:hAnsi="Times New Roman"/>
          <w:b w:val="false"/>
          <w:i w:val="false"/>
          <w:color w:val="000000"/>
          <w:sz w:val="24"/>
        </w:rPr>
        <w:t xml:space="preserve"> as amended to August 1, 2026, and this chapter, with the following exemptions: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110.17(1)</w:t>
      </w:r>
      <w:r>
        <w:rPr>
          <w:rFonts w:ascii="Times New Roman" w:hAnsi="Times New Roman"/>
          <w:b w:val="false"/>
          <w:i w:val="false"/>
          <w:color w:val="000000"/>
          <w:sz w:val="24"/>
        </w:rPr>
        <w:t> </w:t>
      </w:r>
      <w:r>
        <w:rPr>
          <w:rFonts w:ascii="Times New Roman" w:hAnsi="Times New Roman"/>
          <w:b w:val="false"/>
          <w:i w:val="false"/>
          <w:color w:val="000000"/>
          <w:sz w:val="24"/>
        </w:rPr>
        <w:t xml:space="preserve">Facility requirements as set forth in subrule </w:t>
      </w:r>
      <w:hyperlink r:id="rId36">
        <w:r>
          <w:rPr>
            <w:rStyle w:val="Hyperlink"/>
            <w:rFonts w:ascii="Times New Roman" w:hAnsi="Times New Roman"/>
            <w:b w:val="false"/>
            <w:i w:val="false"/>
            <w:color w:val="000000"/>
            <w:sz w:val="24"/>
          </w:rPr>
          <w:t>110.8(1)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110.17(2)</w:t>
      </w:r>
      <w:r>
        <w:rPr>
          <w:rFonts w:ascii="Times New Roman" w:hAnsi="Times New Roman"/>
          <w:b w:val="false"/>
          <w:i w:val="false"/>
          <w:color w:val="000000"/>
          <w:sz w:val="24"/>
        </w:rPr>
        <w:t> </w:t>
      </w:r>
      <w:r>
        <w:rPr>
          <w:rFonts w:ascii="Times New Roman" w:hAnsi="Times New Roman"/>
          <w:b w:val="false"/>
          <w:i w:val="false"/>
          <w:color w:val="000000"/>
          <w:sz w:val="24"/>
        </w:rPr>
        <w:t xml:space="preserve">Emergency plans as set forth in subrule </w:t>
      </w:r>
      <w:hyperlink r:id="rId37">
        <w:r>
          <w:rPr>
            <w:rStyle w:val="Hyperlink"/>
            <w:rFonts w:ascii="Times New Roman" w:hAnsi="Times New Roman"/>
            <w:b w:val="false"/>
            <w:i w:val="false"/>
            <w:color w:val="000000"/>
            <w:sz w:val="24"/>
          </w:rPr>
          <w:t>110.8(4)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110.17(3)</w:t>
      </w:r>
      <w:r>
        <w:rPr>
          <w:rFonts w:ascii="Times New Roman" w:hAnsi="Times New Roman"/>
          <w:b w:val="false"/>
          <w:i w:val="false"/>
          <w:color w:val="000000"/>
          <w:sz w:val="24"/>
        </w:rPr>
        <w:t> </w:t>
      </w:r>
      <w:r>
        <w:rPr>
          <w:rFonts w:ascii="Times New Roman" w:hAnsi="Times New Roman"/>
          <w:b w:val="false"/>
          <w:i w:val="false"/>
          <w:color w:val="000000"/>
          <w:sz w:val="24"/>
        </w:rPr>
        <w:t xml:space="preserve">Children’s files as set forth in subrule </w:t>
      </w:r>
      <w:hyperlink r:id="rId38">
        <w:r>
          <w:rPr>
            <w:rStyle w:val="Hyperlink"/>
            <w:rFonts w:ascii="Times New Roman" w:hAnsi="Times New Roman"/>
            <w:b w:val="false"/>
            <w:i w:val="false"/>
            <w:color w:val="000000"/>
            <w:sz w:val="24"/>
          </w:rPr>
          <w:t>110.9(4)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110.17(4)</w:t>
      </w:r>
      <w:r>
        <w:rPr>
          <w:rFonts w:ascii="Times New Roman" w:hAnsi="Times New Roman"/>
          <w:b w:val="false"/>
          <w:i w:val="false"/>
          <w:color w:val="000000"/>
          <w:sz w:val="24"/>
        </w:rPr>
        <w:t> </w:t>
      </w:r>
      <w:r>
        <w:rPr>
          <w:rFonts w:ascii="Times New Roman" w:hAnsi="Times New Roman"/>
          <w:b w:val="false"/>
          <w:i w:val="false"/>
          <w:color w:val="000000"/>
          <w:sz w:val="24"/>
        </w:rPr>
        <w:t xml:space="preserve">Required training as set forth in subrule </w:t>
      </w:r>
      <w:hyperlink r:id="rId39">
        <w:r>
          <w:rPr>
            <w:rStyle w:val="Hyperlink"/>
            <w:rFonts w:ascii="Times New Roman" w:hAnsi="Times New Roman"/>
            <w:b w:val="false"/>
            <w:i w:val="false"/>
            <w:color w:val="000000"/>
            <w:sz w:val="24"/>
          </w:rPr>
          <w:t>110.10(1)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441—110.18</w:t>
      </w:r>
      <w:r>
        <w:rPr>
          <w:rFonts w:ascii="Times New Roman" w:hAnsi="Times New Roman"/>
          <w:b/>
          <w:i w:val="false"/>
          <w:color w:val="000000"/>
          <w:sz w:val="24"/>
        </w:rPr>
        <w:t xml:space="preserve">(237A) </w:t>
      </w:r>
      <w:r>
        <w:rPr>
          <w:rFonts w:ascii="Times New Roman" w:hAnsi="Times New Roman"/>
          <w:b/>
          <w:i w:val="false"/>
          <w:color w:val="000000"/>
          <w:sz w:val="24"/>
        </w:rPr>
        <w:t xml:space="preserve">Registration actions for nonpayment of child support. </w:t>
      </w:r>
      <w:r>
        <w:rPr>
          <w:rFonts w:ascii="Times New Roman" w:hAnsi="Times New Roman"/>
          <w:b w:val="false"/>
          <w:i w:val="false"/>
          <w:color w:val="000000"/>
          <w:sz w:val="24"/>
        </w:rPr>
        <w:t xml:space="preserve">The department will revoke or deny the issuance or renewal of a child development home registration upon the receipt of a certificate of noncompliance from child support services according to the procedures in Iowa Code chapter </w:t>
      </w:r>
      <w:hyperlink r:id="rId40">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In addition to the procedures set forth in Iowa Code chapter </w:t>
      </w:r>
      <w:hyperlink r:id="rId41">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the rules in this chapter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110.18(1)</w:t>
      </w:r>
      <w:r>
        <w:rPr>
          <w:rFonts w:ascii="Times New Roman" w:hAnsi="Times New Roman"/>
          <w:b w:val="false"/>
          <w:i w:val="false"/>
          <w:color w:val="000000"/>
          <w:sz w:val="24"/>
        </w:rPr>
        <w:t> </w:t>
      </w:r>
      <w:r>
        <w:rPr>
          <w:rFonts w:ascii="Times New Roman" w:hAnsi="Times New Roman"/>
          <w:b w:val="false"/>
          <w:i/>
          <w:color w:val="000000"/>
          <w:sz w:val="24"/>
        </w:rPr>
        <w:t xml:space="preserve">Service of notice. </w:t>
      </w:r>
      <w:r>
        <w:rPr>
          <w:rFonts w:ascii="Times New Roman" w:hAnsi="Times New Roman"/>
          <w:b w:val="false"/>
          <w:i w:val="false"/>
          <w:color w:val="000000"/>
          <w:sz w:val="24"/>
        </w:rPr>
        <w:t xml:space="preserve">The notice required by Iowa Code section </w:t>
      </w:r>
      <w:hyperlink r:id="rId42">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will be served upon the applicant or registrant in writing. Alternatively, the applicant or registrant may accept notice personally or through authorized counsel.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110.18(2)</w:t>
      </w:r>
      <w:r>
        <w:rPr>
          <w:rFonts w:ascii="Times New Roman" w:hAnsi="Times New Roman"/>
          <w:b w:val="false"/>
          <w:i w:val="false"/>
          <w:color w:val="000000"/>
          <w:sz w:val="24"/>
        </w:rPr>
        <w:t> </w:t>
      </w:r>
      <w:r>
        <w:rPr>
          <w:rFonts w:ascii="Times New Roman" w:hAnsi="Times New Roman"/>
          <w:b w:val="false"/>
          <w:i/>
          <w:color w:val="000000"/>
          <w:sz w:val="24"/>
        </w:rPr>
        <w:t xml:space="preserve">Effective date. </w:t>
      </w:r>
      <w:r>
        <w:rPr>
          <w:rFonts w:ascii="Times New Roman" w:hAnsi="Times New Roman"/>
          <w:b w:val="false"/>
          <w:i w:val="false"/>
          <w:color w:val="000000"/>
          <w:sz w:val="24"/>
        </w:rPr>
        <w:t xml:space="preserve">The effective date of the revocation or denial of the registration as specified in the notice required by Iowa Code section </w:t>
      </w:r>
      <w:hyperlink r:id="rId43">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will be 60 days following service of the notice upon the applicant or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110.18(3)</w:t>
      </w:r>
      <w:r>
        <w:rPr>
          <w:rFonts w:ascii="Times New Roman" w:hAnsi="Times New Roman"/>
          <w:b w:val="false"/>
          <w:i w:val="false"/>
          <w:color w:val="000000"/>
          <w:sz w:val="24"/>
        </w:rPr>
        <w:t> </w:t>
      </w:r>
      <w:r>
        <w:rPr>
          <w:rFonts w:ascii="Times New Roman" w:hAnsi="Times New Roman"/>
          <w:b w:val="false"/>
          <w:i/>
          <w:color w:val="000000"/>
          <w:sz w:val="24"/>
        </w:rPr>
        <w:t xml:space="preserve">Preparation of notice. </w:t>
      </w:r>
      <w:r>
        <w:rPr>
          <w:rFonts w:ascii="Times New Roman" w:hAnsi="Times New Roman"/>
          <w:b w:val="false"/>
          <w:i w:val="false"/>
          <w:color w:val="000000"/>
          <w:sz w:val="24"/>
        </w:rPr>
        <w:t xml:space="preserve">The department is authorized to prepare and serve the notice as required by Iowa Code section </w:t>
      </w:r>
      <w:hyperlink r:id="rId44">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110.18(4)</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of registrants and applicants. </w:t>
      </w:r>
      <w:r>
        <w:rPr>
          <w:rFonts w:ascii="Times New Roman" w:hAnsi="Times New Roman"/>
          <w:b w:val="false"/>
          <w:i w:val="false"/>
          <w:color w:val="000000"/>
          <w:sz w:val="24"/>
        </w:rPr>
        <w:t xml:space="preserve">Registrants and registrant applicants shall keep the department informed of all court actions, and all child support services actions taken under or in connection with Iowa Code chapter </w:t>
      </w:r>
      <w:hyperlink r:id="rId45">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and shall provide the department copies, within seven days of filing or issuance, of all applications filed with the district court pursuant to Iowa Code section </w:t>
      </w:r>
      <w:hyperlink r:id="rId46">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all court orders entered in the actions, and withdrawals of certificates of noncompliance by the child support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110.18(5)</w:t>
      </w:r>
      <w:r>
        <w:rPr>
          <w:rFonts w:ascii="Times New Roman" w:hAnsi="Times New Roman"/>
          <w:b w:val="false"/>
          <w:i w:val="false"/>
          <w:color w:val="000000"/>
          <w:sz w:val="24"/>
        </w:rPr>
        <w:t> </w:t>
      </w:r>
      <w:r>
        <w:rPr>
          <w:rFonts w:ascii="Times New Roman" w:hAnsi="Times New Roman"/>
          <w:b w:val="false"/>
          <w:i/>
          <w:color w:val="000000"/>
          <w:sz w:val="24"/>
        </w:rPr>
        <w:t xml:space="preserve">District court. </w:t>
      </w:r>
      <w:r>
        <w:rPr>
          <w:rFonts w:ascii="Times New Roman" w:hAnsi="Times New Roman"/>
          <w:b w:val="false"/>
          <w:i w:val="false"/>
          <w:color w:val="000000"/>
          <w:sz w:val="24"/>
        </w:rPr>
        <w:t xml:space="preserve">A registrant or applicant may file an application with the district court within 30 days of service of a department notice pursuant to Iowa Code sections </w:t>
      </w:r>
      <w:hyperlink r:id="rId47">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and </w:t>
      </w:r>
      <w:hyperlink r:id="rId48">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filing of the application shall stay the department action until the department receives a court order lifting the stay, dismissing the action, or otherwise directing the department to proceed.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purposes of determining the effective date of the revocation, or denial of the issuance or renewal of a registration, the department will count the number of days before the action was filed and the number of days after the action was disposed of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110.18(6)</w:t>
      </w:r>
      <w:r>
        <w:rPr>
          <w:rFonts w:ascii="Times New Roman" w:hAnsi="Times New Roman"/>
          <w:b w:val="false"/>
          <w:i w:val="false"/>
          <w:color w:val="000000"/>
          <w:sz w:val="24"/>
        </w:rPr>
        <w:t> </w:t>
      </w:r>
      <w:r>
        <w:rPr>
          <w:rFonts w:ascii="Times New Roman" w:hAnsi="Times New Roman"/>
          <w:b w:val="false"/>
          <w:i/>
          <w:color w:val="000000"/>
          <w:sz w:val="24"/>
        </w:rPr>
        <w:t xml:space="preserve">Procedure for notification. </w:t>
      </w:r>
      <w:r>
        <w:rPr>
          <w:rFonts w:ascii="Times New Roman" w:hAnsi="Times New Roman"/>
          <w:b w:val="false"/>
          <w:i w:val="false"/>
          <w:color w:val="000000"/>
          <w:sz w:val="24"/>
        </w:rPr>
        <w:t>The department will notify the applicant or registrant in writing within ten days of the effective date of the revocation of a registration or the denial of the issuance or renewal of a registration and will similarly notify the applicant or registrant when the registration is issued, renewed, or reinstated following the department’s receipt of a withdrawal of the certificate of noncompliance.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110.18(7)</w:t>
      </w:r>
      <w:r>
        <w:rPr>
          <w:rFonts w:ascii="Times New Roman" w:hAnsi="Times New Roman"/>
          <w:b w:val="false"/>
          <w:i w:val="false"/>
          <w:color w:val="000000"/>
          <w:sz w:val="24"/>
        </w:rPr>
        <w:t> </w:t>
      </w:r>
      <w:r>
        <w:rPr>
          <w:rFonts w:ascii="Times New Roman" w:hAnsi="Times New Roman"/>
          <w:b w:val="false"/>
          <w:i/>
          <w:color w:val="000000"/>
          <w:sz w:val="24"/>
        </w:rPr>
        <w:t xml:space="preserve">Appeal rights. </w:t>
      </w:r>
      <w:r>
        <w:rPr>
          <w:rFonts w:ascii="Times New Roman" w:hAnsi="Times New Roman"/>
          <w:b w:val="false"/>
          <w:i w:val="false"/>
          <w:color w:val="000000"/>
          <w:sz w:val="24"/>
        </w:rPr>
        <w:t xml:space="preserve">Notwithstanding Iowa Code section </w:t>
      </w:r>
      <w:hyperlink r:id="rId49">
        <w:r>
          <w:rPr>
            <w:rStyle w:val="Hyperlink"/>
            <w:rFonts w:ascii="Times New Roman" w:hAnsi="Times New Roman"/>
            <w:b w:val="false"/>
            <w:i w:val="false"/>
            <w:color w:val="000000"/>
            <w:sz w:val="24"/>
          </w:rPr>
          <w:t>17A.18</w:t>
        </w:r>
      </w:hyperlink>
      <w:r>
        <w:rPr>
          <w:rFonts w:ascii="Times New Roman" w:hAnsi="Times New Roman"/>
          <w:b w:val="false"/>
          <w:i w:val="false"/>
          <w:color w:val="000000"/>
          <w:sz w:val="24"/>
        </w:rPr>
        <w:t xml:space="preserve">, the registrant does not have the right to a hearing regarding this issue but may request a court hearing pursuant to Iowa Code section </w:t>
      </w:r>
      <w:hyperlink r:id="rId50">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441—110.19</w:t>
      </w:r>
      <w:r>
        <w:rPr>
          <w:rFonts w:ascii="Times New Roman" w:hAnsi="Times New Roman"/>
          <w:b/>
          <w:i w:val="false"/>
          <w:color w:val="000000"/>
          <w:sz w:val="24"/>
        </w:rPr>
        <w:t xml:space="preserve">(237A) </w:t>
      </w:r>
      <w:r>
        <w:rPr>
          <w:rFonts w:ascii="Times New Roman" w:hAnsi="Times New Roman"/>
          <w:b/>
          <w:i w:val="false"/>
          <w:color w:val="000000"/>
          <w:sz w:val="24"/>
        </w:rPr>
        <w:t xml:space="preserve">Prohibition from involvement with child care. </w:t>
      </w:r>
      <w:r>
        <w:rPr>
          <w:rFonts w:ascii="Times New Roman" w:hAnsi="Times New Roman"/>
          <w:b w:val="false"/>
          <w:i w:val="false"/>
          <w:color w:val="000000"/>
          <w:sz w:val="24"/>
        </w:rPr>
        <w:t>If the department has prohibited a person or program from involvement with child care, that person or program cannot provide child care as a nonregistered child care home provider.</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51">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 xml:space="preserve"> and chapter </w:t>
      </w:r>
      <w:hyperlink r:id="rId52">
        <w:r>
          <w:rPr>
            <w:rStyle w:val="Hyperlink"/>
            <w:rFonts w:ascii="Times New Roman" w:hAnsi="Times New Roman"/>
            <w:b w:val="false"/>
            <w:i w:val="false"/>
            <w:color w:val="000000"/>
            <w:sz w:val="24"/>
          </w:rPr>
          <w:t>237A</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10/7/26, effective 1/1/27]</w:t>
      </w:r>
    </w:p>
    <w:p>
      <w:pPr>
        <w:spacing w:before="0" w:after="0" w:line="480"/>
        <w:ind w:left="120"/>
        <w:jc w:val="center"/>
      </w:pPr>
      <w:r>
        <w:rPr>
          <w:rFonts w:ascii="Times New Roman" w:hAnsi="Times New Roman"/>
          <w:b w:val="false"/>
          <w:i w:val="false"/>
          <w:color w:val="000000"/>
          <w:sz w:val="24"/>
        </w:rPr>
        <w:t>[Published 10/28/26]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10/28/26.</w:t>
      </w:r>
    </w:p>
    <w:p>
      <w:pPr>
        <w:spacing w:before="0" w:after="0" w:line="480"/>
        <w:ind w:left="120"/>
        <w:jc w:val="left"/>
      </w:pPr>
      <w:bookmarkStart w:name="lastARC" w:id="2"/>
      <w:bookmarkEnd w:id="2"/>
    </w:p>
    <w:sectPr>
      <w:footerReference r:id="rId5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37A.3A.pdf" Type="http://schemas.openxmlformats.org/officeDocument/2006/relationships/hyperlink" Id="rId5"/>
    <Relationship TargetMode="External" Target="https://www.legis.iowa.gov/docs/ico/chapter/237A.1.pdf" Type="http://schemas.openxmlformats.org/officeDocument/2006/relationships/hyperlink" Id="rId6"/>
    <Relationship TargetMode="External" Target="https://www.legis.iowa.gov/docs/ico/chapter/237A.1.pdf" Type="http://schemas.openxmlformats.org/officeDocument/2006/relationships/hyperlink" Id="rId7"/>
    <Relationship TargetMode="External" Target="https://www.legis.iowa.gov/docs/ico/chapter/237A.1.pdf" Type="http://schemas.openxmlformats.org/officeDocument/2006/relationships/hyperlink" Id="rId8"/>
    <Relationship TargetMode="External" Target="https://www.legis.iowa.gov/docs/ico/chapter/237A.1.pdf" Type="http://schemas.openxmlformats.org/officeDocument/2006/relationships/hyperlink" Id="rId9"/>
    <Relationship TargetMode="External" Target="https://www.legis.iowa.gov/docs/ico/chapter/237A.1.pdf" Type="http://schemas.openxmlformats.org/officeDocument/2006/relationships/hyperlink" Id="rId10"/>
    <Relationship TargetMode="External" Target="https://www.legis.iowa.gov/docs/ico/chapter/252J.1.pdf" Type="http://schemas.openxmlformats.org/officeDocument/2006/relationships/hyperlink" Id="rId11"/>
    <Relationship TargetMode="External" Target="https://www.legis.iowa.gov/docs/ico/chapter/237A.1.pdf" Type="http://schemas.openxmlformats.org/officeDocument/2006/relationships/hyperlink" Id="rId12"/>
    <Relationship TargetMode="External" Target="https://www.legis.iowa.gov/docs/ico/chapter/237A.1.pdf" Type="http://schemas.openxmlformats.org/officeDocument/2006/relationships/hyperlink" Id="rId13"/>
    <Relationship TargetMode="External" Target="https://www.legis.iowa.gov/docs/ico/chapter/237A.5.pdf" Type="http://schemas.openxmlformats.org/officeDocument/2006/relationships/hyperlink" Id="rId14"/>
    <Relationship TargetMode="External" Target="https://www.legis.iowa.gov/docs/ico/chapter/237A.1.pdf" Type="http://schemas.openxmlformats.org/officeDocument/2006/relationships/hyperlink" Id="rId15"/>
    <Relationship TargetMode="External" Target="https://www.legis.iowa.gov/docs/ico/chapter/237A.1.pdf" Type="http://schemas.openxmlformats.org/officeDocument/2006/relationships/hyperlink" Id="rId16"/>
    <Relationship TargetMode="External" Target="https://www.legis.iowa.gov/docs/iac/rule/441.110.6.pdf" Type="http://schemas.openxmlformats.org/officeDocument/2006/relationships/hyperlink" Id="rId17"/>
    <Relationship TargetMode="External" Target="https://www.legis.iowa.gov/docs/ico/chapter/237A.3A.pdf" Type="http://schemas.openxmlformats.org/officeDocument/2006/relationships/hyperlink" Id="rId18"/>
    <Relationship TargetMode="External" Target="https://www.legis.iowa.gov/docs/iac/rule/441.110.7.pdf" Type="http://schemas.openxmlformats.org/officeDocument/2006/relationships/hyperlink" Id="rId19"/>
    <Relationship TargetMode="External" Target="https://www.legis.iowa.gov/docs/iac/chapter/481.469.pdf" Type="http://schemas.openxmlformats.org/officeDocument/2006/relationships/hyperlink" Id="rId20"/>
    <Relationship TargetMode="External" Target="https://www.legis.iowa.gov/docs/iac/chapter/481.470.pdf" Type="http://schemas.openxmlformats.org/officeDocument/2006/relationships/hyperlink" Id="rId21"/>
    <Relationship TargetMode="External" Target="https://www.legis.iowa.gov/docs/ico/chapter/321.446.pdf" Type="http://schemas.openxmlformats.org/officeDocument/2006/relationships/hyperlink" Id="rId22"/>
    <Relationship TargetMode="External" Target="https://www.legis.iowa.gov/docs/ico/chapter/702.18.pdf" Type="http://schemas.openxmlformats.org/officeDocument/2006/relationships/hyperlink" Id="rId23"/>
    <Relationship TargetMode="External" Target="https://www.legis.iowa.gov/docs/iac/rule/441.110.9.pdf" Type="http://schemas.openxmlformats.org/officeDocument/2006/relationships/hyperlink" Id="rId24"/>
    <Relationship TargetMode="External" Target="https://www.legis.iowa.gov/docs/ico/chapter/232.69.pdf" Type="http://schemas.openxmlformats.org/officeDocument/2006/relationships/hyperlink" Id="rId25"/>
    <Relationship TargetMode="External" Target="https://www.legis.iowa.gov/docs/ico/chapter/232.69.pdf" Type="http://schemas.openxmlformats.org/officeDocument/2006/relationships/hyperlink" Id="rId26"/>
    <Relationship TargetMode="External" Target="https://www.legis.iowa.gov/docs/ico/chapter/232.69.pdf" Type="http://schemas.openxmlformats.org/officeDocument/2006/relationships/hyperlink" Id="rId27"/>
    <Relationship TargetMode="External" Target="https://www.legis.iowa.gov/docs/ico/chapter/726.23.pdf" Type="http://schemas.openxmlformats.org/officeDocument/2006/relationships/hyperlink" Id="rId28"/>
    <Relationship TargetMode="External" Target="https://www.legis.iowa.gov/docs/ico/chapter/237A.5.pdf" Type="http://schemas.openxmlformats.org/officeDocument/2006/relationships/hyperlink" Id="rId29"/>
    <Relationship TargetMode="External" Target="https://www.legis.iowa.gov/docs/ico/chapter/237A.pdf" Type="http://schemas.openxmlformats.org/officeDocument/2006/relationships/hyperlink" Id="rId30"/>
    <Relationship TargetMode="External" Target="https://www.legis.iowa.gov/docs/iac/rule/441.110.8.pdf" Type="http://schemas.openxmlformats.org/officeDocument/2006/relationships/hyperlink" Id="rId31"/>
    <Relationship TargetMode="External" Target="https://www.legis.iowa.gov/docs/iac/rule/441.110.8.pdf" Type="http://schemas.openxmlformats.org/officeDocument/2006/relationships/hyperlink" Id="rId32"/>
    <Relationship TargetMode="External" Target="https://www.legis.iowa.gov/docs/iac/rule/441.110.8.pdf" Type="http://schemas.openxmlformats.org/officeDocument/2006/relationships/hyperlink" Id="rId33"/>
    <Relationship TargetMode="External" Target="https://www.legis.iowa.gov/docs/iac/rule/441.110.8.pdf" Type="http://schemas.openxmlformats.org/officeDocument/2006/relationships/hyperlink" Id="rId34"/>
    <Relationship TargetMode="External" Target="https://www.legis.iowa.gov/docs/iac/rule/441.110.14.pdf" Type="http://schemas.openxmlformats.org/officeDocument/2006/relationships/hyperlink" Id="rId35"/>
    <Relationship TargetMode="External" Target="https://www.legis.iowa.gov/docs/iac/rule/441.110.8.pdf" Type="http://schemas.openxmlformats.org/officeDocument/2006/relationships/hyperlink" Id="rId36"/>
    <Relationship TargetMode="External" Target="https://www.legis.iowa.gov/docs/iac/rule/441.110.8.pdf" Type="http://schemas.openxmlformats.org/officeDocument/2006/relationships/hyperlink" Id="rId37"/>
    <Relationship TargetMode="External" Target="https://www.legis.iowa.gov/docs/iac/rule/441.110.9.pdf" Type="http://schemas.openxmlformats.org/officeDocument/2006/relationships/hyperlink" Id="rId38"/>
    <Relationship TargetMode="External" Target="https://www.legis.iowa.gov/docs/iac/rule/441.110.10.pdf" Type="http://schemas.openxmlformats.org/officeDocument/2006/relationships/hyperlink" Id="rId39"/>
    <Relationship TargetMode="External" Target="https://www.legis.iowa.gov/docs/ico/chapter/252J.pdf" Type="http://schemas.openxmlformats.org/officeDocument/2006/relationships/hyperlink" Id="rId40"/>
    <Relationship TargetMode="External" Target="https://www.legis.iowa.gov/docs/ico/chapter/252J.pdf" Type="http://schemas.openxmlformats.org/officeDocument/2006/relationships/hyperlink" Id="rId41"/>
    <Relationship TargetMode="External" Target="https://www.legis.iowa.gov/docs/ico/chapter/252J.8.pdf" Type="http://schemas.openxmlformats.org/officeDocument/2006/relationships/hyperlink" Id="rId42"/>
    <Relationship TargetMode="External" Target="https://www.legis.iowa.gov/docs/ico/chapter/252J.8.pdf" Type="http://schemas.openxmlformats.org/officeDocument/2006/relationships/hyperlink" Id="rId43"/>
    <Relationship TargetMode="External" Target="https://www.legis.iowa.gov/docs/ico/chapter/252J.8.pdf" Type="http://schemas.openxmlformats.org/officeDocument/2006/relationships/hyperlink" Id="rId44"/>
    <Relationship TargetMode="External" Target="https://www.legis.iowa.gov/docs/ico/chapter/252J.pdf" Type="http://schemas.openxmlformats.org/officeDocument/2006/relationships/hyperlink" Id="rId45"/>
    <Relationship TargetMode="External" Target="https://www.legis.iowa.gov/docs/ico/chapter/252J.9.pdf" Type="http://schemas.openxmlformats.org/officeDocument/2006/relationships/hyperlink" Id="rId46"/>
    <Relationship TargetMode="External" Target="https://www.legis.iowa.gov/docs/ico/chapter/252J.8.pdf" Type="http://schemas.openxmlformats.org/officeDocument/2006/relationships/hyperlink" Id="rId47"/>
    <Relationship TargetMode="External" Target="https://www.legis.iowa.gov/docs/ico/chapter/252J.9.pdf" Type="http://schemas.openxmlformats.org/officeDocument/2006/relationships/hyperlink" Id="rId48"/>
    <Relationship TargetMode="External" Target="https://www.legis.iowa.gov/docs/ico/chapter/17A.18.pdf" Type="http://schemas.openxmlformats.org/officeDocument/2006/relationships/hyperlink" Id="rId49"/>
    <Relationship TargetMode="External" Target="https://www.legis.iowa.gov/docs/ico/chapter/252J.9.pdf" Type="http://schemas.openxmlformats.org/officeDocument/2006/relationships/hyperlink" Id="rId50"/>
    <Relationship TargetMode="External" Target="https://www.legis.iowa.gov/docs/ico/chapter/234.6.pdf" Type="http://schemas.openxmlformats.org/officeDocument/2006/relationships/hyperlink" Id="rId51"/>
    <Relationship TargetMode="External" Target="https://www.legis.iowa.gov/docs/ico/chapter/237A.pdf" Type="http://schemas.openxmlformats.org/officeDocument/2006/relationships/hyperlink" Id="rId52"/>
    <Relationship Target="footer.xml" Type="http://schemas.openxmlformats.org/officeDocument/2006/relationships/footer"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