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87D" w:id="1"/>
    <w:p>
      <w:pPr>
        <w:spacing w:before="0" w:after="0" w:line="480"/>
        <w:ind w:left="120"/>
        <w:jc w:val="right"/>
      </w:pPr>
      <w:r>
        <w:rPr>
          <w:rFonts w:ascii="Times New Roman" w:hAnsi="Times New Roman"/>
          <w:b/>
          <w:i w:val="false"/>
          <w:color w:val="000000"/>
          <w:sz w:val="28"/>
        </w:rPr>
        <w:t>ARC 0687D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rates and rate disputes</w:t>
      </w:r>
    </w:p>
    <w:p>
      <w:pPr>
        <w:pBdr>
          <w:top w:space="5"/>
        </w:pBdr>
        <w:spacing w:before="0" w:after="0" w:line="480"/>
        <w:ind w:left="120"/>
        <w:jc w:val="both"/>
      </w:pPr>
      <w:r>
        <w:rPr>
          <w:rFonts w:ascii="Times New Roman" w:hAnsi="Times New Roman"/>
          <w:b w:val="false"/>
          <w:i w:val="false"/>
          <w:color w:val="000000"/>
          <w:sz w:val="24"/>
        </w:rPr>
        <w:t>    The Iowa Communications Network (ICN) hereby rescinds Chapter 12, “Rates and Rate Disputes,” Iowa Administrative Code, and adopts a new Chapter 12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chapter describes the methodology for establishing self-sustaining rates for services on the statewide network, outlines notification procedures for rate adjustments, and provides a clear process for resolving billing disputes. This chapter was reviewed pursuant to Executive Order 10. As a result, the ICN removed redundant and obsolete language and provides transparent guidance on rates and rate disputes.</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September 2, 2026, as </w:t>
      </w:r>
      <w:r>
        <w:rPr>
          <w:rFonts w:ascii="Times New Roman" w:hAnsi="Times New Roman"/>
          <w:b/>
          <w:i w:val="false"/>
          <w:color w:val="000000"/>
          <w:sz w:val="24"/>
        </w:rPr>
        <w:t>ARC 0512D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30,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1, 2026</w:t>
      </w:r>
    </w:p>
    <w:p>
      <w:pPr>
        <w:spacing w:before="0" w:after="0" w:line="480"/>
        <w:ind w:left="120"/>
        <w:jc w:val="both"/>
      </w:pPr>
      <w:r>
        <w:rPr>
          <w:rFonts w:ascii="Times New Roman" w:hAnsi="Times New Roman"/>
          <w:b w:val="false"/>
          <w:i w:val="false"/>
          <w:color w:val="000000"/>
          <w:sz w:val="24"/>
        </w:rPr>
        <w:t>    No one attended the public hearings.</w:t>
      </w:r>
    </w:p>
    <w:p>
      <w:pPr>
        <w:spacing w:before="0" w:after="0" w:line="480"/>
        <w:ind w:left="120"/>
        <w:jc w:val="both"/>
      </w:pPr>
      <w:r>
        <w:rPr>
          <w:rFonts w:ascii="Times New Roman" w:hAnsi="Times New Roman"/>
          <w:b w:val="false"/>
          <w:i w:val="false"/>
          <w:color w:val="000000"/>
          <w:sz w:val="24"/>
        </w:rPr>
        <w:t>    John Richardson of the Iowa Hospital Association submitted a written comment at the Notice of Intended Action stage recommending 90 days’ advance notice for a rate increase. </w:t>
      </w:r>
    </w:p>
    <w:p>
      <w:pPr>
        <w:spacing w:before="0" w:after="0" w:line="480"/>
        <w:ind w:left="120"/>
        <w:jc w:val="both"/>
      </w:pPr>
      <w:r>
        <w:rPr>
          <w:rFonts w:ascii="Times New Roman" w:hAnsi="Times New Roman"/>
          <w:b w:val="false"/>
          <w:i w:val="false"/>
          <w:color w:val="000000"/>
          <w:sz w:val="24"/>
        </w:rPr>
        <w:t>    A change from the Notice has been made to increase the notice period from 30 days to 90 days, giving authorized users more notice of an established rate increase.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ICN Executive Director on October 7,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ICN for a waiver of the discretionary provisions, if any, pursuant to 751—Chapter 2504.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December 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12</w:t>
      </w:r>
    </w:p>
    <w:p>
      <w:pPr>
        <w:spacing w:before="0" w:after="0" w:line="480"/>
        <w:ind w:left="120"/>
        <w:jc w:val="center"/>
      </w:pPr>
      <w:r>
        <w:rPr>
          <w:rFonts w:ascii="Times New Roman" w:hAnsi="Times New Roman"/>
          <w:b w:val="false"/>
          <w:i w:val="false"/>
          <w:color w:val="000000"/>
          <w:sz w:val="21"/>
        </w:rPr>
        <w:t>RATES AND RATE DISPUTES</w:t>
      </w:r>
    </w:p>
    <w:p>
      <w:pPr>
        <w:spacing w:before="0" w:after="0" w:line="480"/>
        <w:ind w:left="120"/>
        <w:jc w:val="both"/>
      </w:pPr>
      <w:r>
        <w:rPr>
          <w:rFonts w:ascii="Times New Roman" w:hAnsi="Times New Roman"/>
          <w:b/>
          <w:i w:val="false"/>
          <w:color w:val="000000"/>
          <w:sz w:val="24"/>
        </w:rPr>
        <w:t>751—12.1</w:t>
      </w:r>
      <w:r>
        <w:rPr>
          <w:rFonts w:ascii="Times New Roman" w:hAnsi="Times New Roman"/>
          <w:b/>
          <w:i w:val="false"/>
          <w:color w:val="000000"/>
          <w:sz w:val="24"/>
        </w:rPr>
        <w:t xml:space="preserve">(8D) </w:t>
      </w:r>
      <w:r>
        <w:rPr>
          <w:rFonts w:ascii="Times New Roman" w:hAnsi="Times New Roman"/>
          <w:b/>
          <w:i w:val="false"/>
          <w:color w:val="000000"/>
          <w:sz w:val="24"/>
        </w:rPr>
        <w:t xml:space="preserve">Rate methodology.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12.1(1)</w:t>
      </w:r>
      <w:r>
        <w:rPr>
          <w:rFonts w:ascii="Times New Roman" w:hAnsi="Times New Roman"/>
          <w:b w:val="false"/>
          <w:i w:val="false"/>
          <w:color w:val="000000"/>
          <w:sz w:val="24"/>
        </w:rPr>
        <w:t> </w:t>
      </w:r>
      <w:r>
        <w:rPr>
          <w:rFonts w:ascii="Times New Roman" w:hAnsi="Times New Roman"/>
          <w:b w:val="false"/>
          <w:i/>
          <w:color w:val="000000"/>
          <w:sz w:val="24"/>
        </w:rPr>
        <w:t xml:space="preserve">Cost recovery. </w:t>
      </w:r>
      <w:r>
        <w:rPr>
          <w:rFonts w:ascii="Times New Roman" w:hAnsi="Times New Roman"/>
          <w:b w:val="false"/>
          <w:i w:val="false"/>
          <w:color w:val="000000"/>
          <w:sz w:val="24"/>
        </w:rPr>
        <w:t>The commission shall establish rates for all services based on the actual cost of operation, maintenance, administration, and capital investment required to provide the service. Rates shall be designed to be self-sustaining and consistent with the state’s financial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12.1(2)</w:t>
      </w:r>
      <w:r>
        <w:rPr>
          <w:rFonts w:ascii="Times New Roman" w:hAnsi="Times New Roman"/>
          <w:b w:val="false"/>
          <w:i w:val="false"/>
          <w:color w:val="000000"/>
          <w:sz w:val="24"/>
        </w:rPr>
        <w:t> </w:t>
      </w:r>
      <w:r>
        <w:rPr>
          <w:rFonts w:ascii="Times New Roman" w:hAnsi="Times New Roman"/>
          <w:b w:val="false"/>
          <w:i/>
          <w:color w:val="000000"/>
          <w:sz w:val="24"/>
        </w:rPr>
        <w:t xml:space="preserve">Educational priority. </w:t>
      </w:r>
      <w:r>
        <w:rPr>
          <w:rFonts w:ascii="Times New Roman" w:hAnsi="Times New Roman"/>
          <w:b w:val="false"/>
          <w:i w:val="false"/>
          <w:color w:val="000000"/>
          <w:sz w:val="24"/>
        </w:rPr>
        <w:t xml:space="preserve">In establishing rates for educational users, the commission shall ensure that rural communities have access to services comparable to those provided in urban areas, consistent with Iowa Code section </w:t>
      </w:r>
      <w:hyperlink r:id="rId5">
        <w:r>
          <w:rPr>
            <w:rStyle w:val="Hyperlink"/>
            <w:rFonts w:ascii="Times New Roman" w:hAnsi="Times New Roman"/>
            <w:b w:val="false"/>
            <w:i w:val="false"/>
            <w:color w:val="000000"/>
            <w:sz w:val="24"/>
          </w:rPr>
          <w:t>8D.3(1)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12.1(3)</w:t>
      </w:r>
      <w:r>
        <w:rPr>
          <w:rFonts w:ascii="Times New Roman" w:hAnsi="Times New Roman"/>
          <w:b w:val="false"/>
          <w:i w:val="false"/>
          <w:color w:val="000000"/>
          <w:sz w:val="24"/>
        </w:rPr>
        <w:t> </w:t>
      </w:r>
      <w:r>
        <w:rPr>
          <w:rFonts w:ascii="Times New Roman" w:hAnsi="Times New Roman"/>
          <w:b w:val="false"/>
          <w:i/>
          <w:color w:val="000000"/>
          <w:sz w:val="24"/>
        </w:rPr>
        <w:t xml:space="preserve">Federal and health users. </w:t>
      </w:r>
      <w:r>
        <w:rPr>
          <w:rFonts w:ascii="Times New Roman" w:hAnsi="Times New Roman"/>
          <w:b w:val="false"/>
          <w:i w:val="false"/>
          <w:color w:val="000000"/>
          <w:sz w:val="24"/>
        </w:rPr>
        <w:t xml:space="preserve">Rates for federal agencies, hospitals, and physician clinics shall be established at a level that ensures, at a minimum, there is no state subsidy related to the cost of the connection or use of the network, consistent with Iowa Code section </w:t>
      </w:r>
      <w:hyperlink r:id="rId6">
        <w:r>
          <w:rPr>
            <w:rStyle w:val="Hyperlink"/>
            <w:rFonts w:ascii="Times New Roman" w:hAnsi="Times New Roman"/>
            <w:b w:val="false"/>
            <w:i w:val="false"/>
            <w:color w:val="000000"/>
            <w:sz w:val="24"/>
          </w:rPr>
          <w:t>8D.3(3)</w:t>
        </w:r>
      </w:hyperlink>
      <w:r>
        <w:rPr>
          <w:rFonts w:ascii="Times New Roman" w:hAnsi="Times New Roman"/>
          <w:b w:val="false"/>
          <w:i/>
          <w:color w:val="000000"/>
          <w:sz w:val="24"/>
        </w:rPr>
        <w:t>“i.”</w:t>
      </w:r>
    </w:p>
    <w:p>
      <w:pPr>
        <w:spacing w:before="210" w:after="0" w:line="480"/>
        <w:ind w:left="120"/>
        <w:jc w:val="both"/>
      </w:pPr>
      <w:r>
        <w:rPr>
          <w:rFonts w:ascii="Times New Roman" w:hAnsi="Times New Roman"/>
          <w:b/>
          <w:i w:val="false"/>
          <w:color w:val="000000"/>
          <w:sz w:val="24"/>
        </w:rPr>
        <w:t>751—12.2</w:t>
      </w:r>
      <w:r>
        <w:rPr>
          <w:rFonts w:ascii="Times New Roman" w:hAnsi="Times New Roman"/>
          <w:b/>
          <w:i w:val="false"/>
          <w:color w:val="000000"/>
          <w:sz w:val="24"/>
        </w:rPr>
        <w:t xml:space="preserve">(8D) </w:t>
      </w:r>
      <w:r>
        <w:rPr>
          <w:rFonts w:ascii="Times New Roman" w:hAnsi="Times New Roman"/>
          <w:b/>
          <w:i w:val="false"/>
          <w:color w:val="000000"/>
          <w:sz w:val="24"/>
        </w:rPr>
        <w:t xml:space="preserve">Rate increase notice. </w:t>
      </w:r>
      <w:r>
        <w:rPr>
          <w:rFonts w:ascii="Times New Roman" w:hAnsi="Times New Roman"/>
          <w:b w:val="false"/>
          <w:i w:val="false"/>
          <w:color w:val="000000"/>
          <w:sz w:val="24"/>
        </w:rPr>
        <w:t>The commission shall provide notice to authorized users of any general rate increase at least 90 days prior to the effective date of the increase.</w:t>
      </w:r>
    </w:p>
    <w:p>
      <w:pPr>
        <w:spacing w:before="0" w:after="0" w:line="480"/>
        <w:ind w:left="120"/>
        <w:jc w:val="both"/>
      </w:pPr>
      <w:r>
        <w:rPr>
          <w:rFonts w:ascii="Times New Roman" w:hAnsi="Times New Roman"/>
          <w:b/>
          <w:i w:val="false"/>
          <w:color w:val="000000"/>
          <w:sz w:val="24"/>
        </w:rPr>
        <w:t>751—12.3</w:t>
      </w:r>
      <w:r>
        <w:rPr>
          <w:rFonts w:ascii="Times New Roman" w:hAnsi="Times New Roman"/>
          <w:b/>
          <w:i w:val="false"/>
          <w:color w:val="000000"/>
          <w:sz w:val="24"/>
        </w:rPr>
        <w:t xml:space="preserve">(8D) </w:t>
      </w:r>
      <w:r>
        <w:rPr>
          <w:rFonts w:ascii="Times New Roman" w:hAnsi="Times New Roman"/>
          <w:b/>
          <w:i w:val="false"/>
          <w:color w:val="000000"/>
          <w:sz w:val="24"/>
        </w:rPr>
        <w:t xml:space="preserve">Rate dispute resolution.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An authorized user who believes the user has been billed an incorrect rate or charge may request a review by the executive director. The request must be in writing and include the specific invoice and the basis for the dispute.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12.3(2)</w:t>
      </w:r>
      <w:r>
        <w:rPr>
          <w:rFonts w:ascii="Times New Roman" w:hAnsi="Times New Roman"/>
          <w:b w:val="false"/>
          <w:i w:val="false"/>
          <w:color w:val="000000"/>
          <w:sz w:val="24"/>
        </w:rPr>
        <w:t> </w:t>
      </w:r>
      <w:r>
        <w:rPr>
          <w:rFonts w:ascii="Times New Roman" w:hAnsi="Times New Roman"/>
          <w:b w:val="false"/>
          <w:i/>
          <w:color w:val="000000"/>
          <w:sz w:val="24"/>
        </w:rPr>
        <w:t xml:space="preserve">Determination. </w:t>
      </w:r>
      <w:r>
        <w:rPr>
          <w:rFonts w:ascii="Times New Roman" w:hAnsi="Times New Roman"/>
          <w:b w:val="false"/>
          <w:i w:val="false"/>
          <w:color w:val="000000"/>
          <w:sz w:val="24"/>
        </w:rPr>
        <w:t>The executive director or designee shall review the dispute and issue a written decision to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w:t>
      </w:r>
      <w:r>
        <w:rPr>
          <w:rFonts w:ascii="Times New Roman" w:hAnsi="Times New Roman"/>
          <w:b w:val="false"/>
          <w:i w:val="false"/>
          <w:color w:val="000000"/>
          <w:sz w:val="24"/>
        </w:rPr>
        <w:t> </w:t>
      </w:r>
      <w:r>
        <w:rPr>
          <w:rFonts w:ascii="Times New Roman" w:hAnsi="Times New Roman"/>
          <w:b w:val="false"/>
          <w:i/>
          <w:color w:val="000000"/>
          <w:sz w:val="24"/>
        </w:rPr>
        <w:t xml:space="preserve">Appeal. </w:t>
      </w:r>
      <w:r>
        <w:rPr>
          <w:rFonts w:ascii="Times New Roman" w:hAnsi="Times New Roman"/>
          <w:b w:val="false"/>
          <w:i w:val="false"/>
          <w:color w:val="000000"/>
          <w:sz w:val="24"/>
        </w:rPr>
        <w:t xml:space="preserve">If the authorized user is dissatisfied with the executive director’s decision, the user may file a notice of appeal in accordance with the contested case procedures in </w:t>
      </w:r>
      <w:hyperlink r:id="rId7">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8">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10/7/26, effective 12/2/26]</w:t>
      </w:r>
    </w:p>
    <w:p>
      <w:pPr>
        <w:spacing w:before="0" w:after="0" w:line="480"/>
        <w:ind w:left="120"/>
        <w:jc w:val="center"/>
      </w:pPr>
      <w:r>
        <w:rPr>
          <w:rFonts w:ascii="Times New Roman" w:hAnsi="Times New Roman"/>
          <w:b w:val="false"/>
          <w:i w:val="false"/>
          <w:color w:val="000000"/>
          <w:sz w:val="24"/>
        </w:rPr>
        <w:t>[Published 10/28/26]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10/28/26.</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D.3.pdf" Type="http://schemas.openxmlformats.org/officeDocument/2006/relationships/hyperlink" Id="rId5"/>
    <Relationship TargetMode="External" Target="https://www.legis.iowa.gov/docs/ico/chapter/8D.3.pdf" Type="http://schemas.openxmlformats.org/officeDocument/2006/relationships/hyperlink" Id="rId6"/>
    <Relationship TargetMode="External" Target="https://www.legis.iowa.gov/docs/iac/chapter/7.2506.pdf" Type="http://schemas.openxmlformats.org/officeDocument/2006/relationships/hyperlink" Id="rId7"/>
    <Relationship TargetMode="External" Target="https://www.legis.iowa.gov/docs/ico/chapter/8D.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