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686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0686D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COMMUNICATIONS NETWORK, IOWA[751]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Adopted and Filed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Rulemaking related to asset ownership and demarcation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Iowa Communications Network (ICN) hereby rescinds Chapter 11, “Asset Allocation and Ownership,” and adopts a new Chapter 11, “Asset Ownership and Demarcation,”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adopted under the authority provided in Iowa Code chapter 8D.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 Iowa Code chapter 8D and Executive Order 10.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chapter describes legal clarity regarding State-owned infrastructure versus leased or user-owned last-mile connections, explicitly defines the physical demarcation point where State responsibility ends and authorized user responsibility begins, and identifies necessary protections for State-owned equipment residing on user premises. This chapter was reviewed pursuant to Executive Order 10. As a result, the ICN removed redundant and obsolete language.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 and Changes to Rulemaking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Notice of Intended Action for this rulemaking was published in the Iowa Administrative Bulletin on September 2, 2026, as </w:t>
      </w:r>
      <w:r>
        <w:rPr>
          <w:rFonts w:ascii="Times New Roman" w:hAnsi="Times New Roman"/>
          <w:b/>
          <w:i w:val="false"/>
          <w:color w:val="000000"/>
          <w:sz w:val="24"/>
        </w:rPr>
        <w:t>ARC 0511D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September 30,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October 1, 2026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No one attended the public hearings. No public comments were received. No changes from the Notice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Adoption of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was adopted by the ICN Executive Director on October 7, 2026.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Any person who believes that the application of the discretionary provisions of this rulemaking would result in hardship or injustice to that person may petition the ICN for a waiver of the discretionary provisions, if any, pursuant to 751—Chapter 2504.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Effective Date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will become effective on December 2, 2026.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adopted: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751—Chapter 11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and adopt the following </w:t>
      </w:r>
      <w:r>
        <w:rPr>
          <w:rFonts w:ascii="Times New Roman" w:hAnsi="Times New Roman"/>
          <w:b/>
          <w:i w:val="false"/>
          <w:color w:val="000000"/>
          <w:sz w:val="24"/>
        </w:rPr>
        <w:t>new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chapter in lieu thereof:</w:t>
      </w:r>
    </w:p>
    <w:p>
      <w:pPr>
        <w:spacing w:before="0" w:after="0" w:line="480"/>
        <w:ind w:left="120"/>
        <w:jc w:val="both"/>
      </w:pP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11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ASSET OWNERSHIP AND DEMARCATION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751—11.1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Asset ownership.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11.1(1)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Network backbone.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The network backbone (Part I) and the regional aggregation points (Part II) are the property of the state of Iowa and are managed and maintained by the commission.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11.1(2)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Last mile connections.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Part III connections (the “last mile” to the authorized user) may be owned by the state, leased from private telecommunications providers, or owned by the authorized user.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State-owned.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Where the commission has constructed and owns the Part III connection, the commission is responsible for maintenance up to the demarcation point.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Leased.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Where the commission leases the Part III connection from a third-party provider, maintenance and repair responsibilities are governed by the terms of the lease agreement between the commission and the provider.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User-owned.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Where the authorized user owns the connection (e.g., fiber installed by a school district), the authorized user is solely responsible for maintenance and repair.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751—11.2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Demarcation point.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11.2(1)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Definition.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The demarcation point (demarc) is the physical point where the commission’s responsibility for the network ends and the authorized user’s responsibility begins.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11.2(2)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Location.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Unless otherwise specified in a service agreement: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Fiber connections.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The demarc is the termination panel or optical network terminal (ONT) installed by the commission at the authorized user’s facility.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Equipment.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The commission retains ownership and maintenance responsibility for the electronics (routers, switches) provided by the commission to deliver service up to the hand-off port on that device.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11.2(3)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Internal wiring.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The authorized user is responsible for all internal building wiring, cabling, cross-connects, and power beyond the demarcation point.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751—11.3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Equipment return and liability.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11.3(1)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Access.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Upon the termination of service, the authorized user shall permit the commission reasonable access to the premises to remove state-owned equipment.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/>
          <w:i w:val="false"/>
          <w:color w:val="000000"/>
          <w:sz w:val="24"/>
        </w:rPr>
        <w:t>11.3(2)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 </w:t>
      </w:r>
      <w:r>
        <w:rPr>
          <w:rFonts w:ascii="Times New Roman" w:hAnsi="Times New Roman"/>
          <w:b w:val="false"/>
          <w:i/>
          <w:color w:val="000000"/>
          <w:sz w:val="24"/>
        </w:rPr>
        <w:t xml:space="preserve">Liability.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The authorized user constitutes a bailee of state property located on the user’s premises. The authorized user shall be liable for the cost of repair or replacement of any state-owned equipment that is lost, stolen, or damaged due to the negligence or willful misconduct of the user or its agents.</w:t>
      </w:r>
    </w:p>
    <w:p>
      <w:pPr>
        <w:spacing w:before="21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751—11.4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Surplus property.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The commission shall dispose of obsolete or excess network assets in accordance with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</w:rPr>
          <w:t>751—17.3(8D)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These rules are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</w:rPr>
          <w:t>8D.3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[Filed 10/7/26, effective 12/2/26]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[Published 10/28/26]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EDITOR’S NOTE: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For replacement pages for IAC, see IAC Supplement 10/28/26.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committees/meetings/meetingsListComm?groupID=705&amp;ga=91" Type="http://schemas.openxmlformats.org/officeDocument/2006/relationships/hyperlink" Id="rId4"/>
    <Relationship TargetMode="External" Target="https://www.legis.iowa.gov/docs/iac/rule/751.17.3.pdf" Type="http://schemas.openxmlformats.org/officeDocument/2006/relationships/hyperlink" Id="rId5"/>
    <Relationship TargetMode="External" Target="https://www.legis.iowa.gov/docs/ico/chapter/8D.3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