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5D" w:id="1"/>
    <w:p>
      <w:pPr>
        <w:spacing w:before="0" w:after="0" w:line="480"/>
        <w:ind w:left="120"/>
        <w:jc w:val="right"/>
      </w:pPr>
      <w:r>
        <w:rPr>
          <w:rFonts w:ascii="Times New Roman" w:hAnsi="Times New Roman"/>
          <w:b/>
          <w:i w:val="false"/>
          <w:color w:val="000000"/>
          <w:sz w:val="28"/>
        </w:rPr>
        <w:t>ARC 0655D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uniform rules on agency </w:t>
      </w:r>
      <w:r>
        <w:br/>
      </w:r>
      <w:r>
        <w:rPr>
          <w:rFonts w:ascii="Times New Roman" w:hAnsi="Times New Roman"/>
          <w:b/>
          <w:i w:val="false"/>
          <w:color w:val="000000"/>
          <w:sz w:val="24"/>
        </w:rPr>
        <w:t>procedure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proposes to rescind Chapter 2, “Public Records and Fair Information Practices,” and to adopt a new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 Iowa Code section 22.11;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fair information practices (7—Chapter 2505) to ensure that business confidential records are properly processed and stored by the Department of Natural Resources (Department). This rulemaking also is being proposed in accordance with 2026 Iowa Acts, Senate File 2463, in which portions of Chapter 2 relating to personally identifiable information portions were not rescinded. In order for the Commission’s chapters to contain all of the Department’s rules regarding fair information practices, the portions of Chapter 2 related to personally identifiable information are being moved to Chapter 2505. This will allow for Chapter 2 to be rescinded.</w:t>
      </w:r>
    </w:p>
    <w:p>
      <w:pPr>
        <w:spacing w:before="0" w:after="0" w:line="480"/>
        <w:ind w:left="120"/>
        <w:jc w:val="both"/>
      </w:pPr>
      <w:r>
        <w:rPr>
          <w:rFonts w:ascii="Times New Roman" w:hAnsi="Times New Roman"/>
          <w:b w:val="false"/>
          <w:i w:val="false"/>
          <w:color w:val="000000"/>
          <w:sz w:val="24"/>
        </w:rPr>
        <w:t>    This proposed rulemaking also modifies the Uniform Rules on Agency Procedure related to contested cases (7—Chapter 2506) to ensure that the deadline for an administrative appeal is a definite date.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proposed rulemaking, which must be received by the Department no later than 4:30 p.m. on November 3,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08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Kelli Book, Attorney</w:t>
            </w:r>
            <w:r>
              <w:br/>
            </w:r>
            <w:r>
              <w:rPr>
                <w:rFonts w:ascii="Times New Roman" w:hAnsi="Times New Roman"/>
                <w:b w:val="false"/>
                <w:i w:val="false"/>
                <w:color w:val="000000"/>
                <w:sz w:val="14"/>
              </w:rPr>
              <w:t xml:space="preserve">Iowa Department of Natural Resources </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Phone: 515.210.3408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kelli.book@dnr.iowa.gov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5">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6">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1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Backbone Conference Room</w:t>
            </w:r>
            <w:r>
              <w:br/>
            </w:r>
            <w:r>
              <w:rPr>
                <w:rFonts w:ascii="Times New Roman" w:hAnsi="Times New Roman"/>
                <w:b w:val="false"/>
                <w:i w:val="false"/>
                <w:color w:val="000000"/>
                <w:sz w:val="14"/>
              </w:rPr>
              <w:t xml:space="preserve"> 6200 Park Avenue, Suite 200</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will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Commission and advise of specific needs.</w:t>
      </w:r>
    </w:p>
    <w:p>
      <w:pP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7">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or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9">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 </w:t>
      </w:r>
      <w:hyperlink r:id="rId10">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11">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571—Chapter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571—Chapter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12">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13">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4">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571—2505.5</w:t>
      </w:r>
      <w:r>
        <w:rPr>
          <w:rFonts w:ascii="Times New Roman" w:hAnsi="Times New Roman"/>
          <w:b/>
          <w:i w:val="false"/>
          <w:color w:val="000000"/>
          <w:sz w:val="24"/>
        </w:rPr>
        <w:t xml:space="preserve">(17A,22) </w:t>
      </w:r>
      <w:r>
        <w:rPr>
          <w:rFonts w:ascii="Times New Roman" w:hAnsi="Times New Roman"/>
          <w:b/>
          <w:i w:val="false"/>
          <w:color w:val="000000"/>
          <w:sz w:val="24"/>
        </w:rPr>
        <w:t xml:space="preserve">Confidential records. </w:t>
      </w:r>
      <w:r>
        <w:rPr>
          <w:rFonts w:ascii="Times New Roman" w:hAnsi="Times New Roman"/>
          <w:b w:val="false"/>
          <w:i w:val="false"/>
          <w:color w:val="000000"/>
          <w:sz w:val="24"/>
        </w:rPr>
        <w:t xml:space="preserve">The custodian may treat a record as a confidential record and withhold it from examination only to the extent that the custodian is authorized by Iowa Code section </w:t>
      </w:r>
      <w:hyperlink r:id="rId15">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another applicable provision of law, or a court order. Unless deemed as a confidential record or considered as a confidential record by Iowa Code section </w:t>
      </w:r>
      <w:hyperlink r:id="rId16">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all records are considered public and routinely disclosed without the consent of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2505.5(1)</w:t>
      </w:r>
      <w:r>
        <w:rPr>
          <w:rFonts w:ascii="Times New Roman" w:hAnsi="Times New Roman"/>
          <w:b w:val="false"/>
          <w:i w:val="false"/>
          <w:color w:val="000000"/>
          <w:sz w:val="24"/>
        </w:rPr>
        <w:t> </w:t>
      </w:r>
      <w:r>
        <w:rPr>
          <w:rFonts w:ascii="Times New Roman" w:hAnsi="Times New Roman"/>
          <w:b w:val="false"/>
          <w:i/>
          <w:color w:val="000000"/>
          <w:sz w:val="24"/>
        </w:rPr>
        <w:t xml:space="preserve">Persons who may request. </w:t>
      </w:r>
      <w:r>
        <w:rPr>
          <w:rFonts w:ascii="Times New Roman" w:hAnsi="Times New Roman"/>
          <w:b w:val="false"/>
          <w:i w:val="false"/>
          <w:color w:val="000000"/>
          <w:sz w:val="24"/>
        </w:rPr>
        <w:t xml:space="preserve">Any person who would be aggrieved or adversely affected by disclosure of a record and who asserts that Iowa Code section </w:t>
      </w:r>
      <w:hyperlink r:id="rId17">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2505.5(2)</w:t>
      </w:r>
      <w:r>
        <w:rPr>
          <w:rFonts w:ascii="Times New Roman" w:hAnsi="Times New Roman"/>
          <w:b w:val="false"/>
          <w:i w:val="false"/>
          <w:color w:val="000000"/>
          <w:sz w:val="24"/>
        </w:rPr>
        <w:t> </w:t>
      </w:r>
      <w:r>
        <w:rPr>
          <w:rFonts w:ascii="Times New Roman" w:hAnsi="Times New Roman"/>
          <w:b w:val="false"/>
          <w:i/>
          <w:color w:val="000000"/>
          <w:sz w:val="24"/>
        </w:rPr>
        <w:t xml:space="preserve">Request. </w:t>
      </w:r>
      <w:r>
        <w:rPr>
          <w:rFonts w:ascii="Times New Roman" w:hAnsi="Times New Roman"/>
          <w:b w:val="false"/>
          <w:i w:val="false"/>
          <w:color w:val="000000"/>
          <w:sz w:val="24"/>
        </w:rPr>
        <w:t>A written request that a record be treated as a confidential record and be withheld from public inspection should be filed with the custodian. The request must set forth the legal and factual basis justifying such confidential record treatment for that record. The request should include two copies of the record in question: one copy of the record with all information provided and a second copy of the record with the information being requested confidential deleted from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2505.5(3)</w:t>
      </w:r>
      <w:r>
        <w:rPr>
          <w:rFonts w:ascii="Times New Roman" w:hAnsi="Times New Roman"/>
          <w:b w:val="false"/>
          <w:i w:val="false"/>
          <w:color w:val="000000"/>
          <w:sz w:val="24"/>
        </w:rPr>
        <w:t> </w:t>
      </w:r>
      <w:r>
        <w:rPr>
          <w:rFonts w:ascii="Times New Roman" w:hAnsi="Times New Roman"/>
          <w:b w:val="false"/>
          <w:i/>
          <w:color w:val="000000"/>
          <w:sz w:val="24"/>
        </w:rPr>
        <w:t xml:space="preserve">Timing of decision. </w:t>
      </w:r>
      <w:r>
        <w:rPr>
          <w:rFonts w:ascii="Times New Roman" w:hAnsi="Times New Roman"/>
          <w:b w:val="false"/>
          <w:i w:val="false"/>
          <w:color w:val="000000"/>
          <w:sz w:val="24"/>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2505.5(4)</w:t>
      </w:r>
      <w:r>
        <w:rPr>
          <w:rFonts w:ascii="Times New Roman" w:hAnsi="Times New Roman"/>
          <w:b w:val="false"/>
          <w:i w:val="false"/>
          <w:color w:val="000000"/>
          <w:sz w:val="24"/>
        </w:rPr>
        <w:t> </w:t>
      </w:r>
      <w:r>
        <w:rPr>
          <w:rFonts w:ascii="Times New Roman" w:hAnsi="Times New Roman"/>
          <w:b w:val="false"/>
          <w:i/>
          <w:color w:val="000000"/>
          <w:sz w:val="24"/>
        </w:rPr>
        <w:t xml:space="preserve">Request granted or deferred. </w:t>
      </w:r>
      <w:r>
        <w:rPr>
          <w:rFonts w:ascii="Times New Roman" w:hAnsi="Times New Roman"/>
          <w:b w:val="false"/>
          <w:i w:val="false"/>
          <w:color w:val="000000"/>
          <w:sz w:val="24"/>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2505.5(5)</w:t>
      </w:r>
      <w:r>
        <w:rPr>
          <w:rFonts w:ascii="Times New Roman" w:hAnsi="Times New Roman"/>
          <w:b w:val="false"/>
          <w:i w:val="false"/>
          <w:color w:val="000000"/>
          <w:sz w:val="24"/>
        </w:rPr>
        <w:t> </w:t>
      </w:r>
      <w:r>
        <w:rPr>
          <w:rFonts w:ascii="Times New Roman" w:hAnsi="Times New Roman"/>
          <w:b w:val="false"/>
          <w:i/>
          <w:color w:val="000000"/>
          <w:sz w:val="24"/>
        </w:rPr>
        <w:t xml:space="preserve">Request denied and opportunity to seek injunction. </w:t>
      </w:r>
      <w:r>
        <w:rPr>
          <w:rFonts w:ascii="Times New Roman" w:hAnsi="Times New Roman"/>
          <w:b w:val="false"/>
          <w:i w:val="false"/>
          <w:color w:val="000000"/>
          <w:sz w:val="24"/>
        </w:rPr>
        <w:t xml:space="preserve">If a request that a record be treated as a confidential record and be withheld from public inspection is denied, the custodian will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18">
        <w:r>
          <w:rPr>
            <w:rStyle w:val="Hyperlink"/>
            <w:rFonts w:ascii="Times New Roman" w:hAnsi="Times New Roman"/>
            <w:b w:val="false"/>
            <w:i w:val="false"/>
            <w:color w:val="000000"/>
            <w:sz w:val="24"/>
          </w:rPr>
          <w:t>22.8</w:t>
        </w:r>
      </w:hyperlink>
      <w:r>
        <w:rPr>
          <w:rFonts w:ascii="Times New Roman" w:hAnsi="Times New Roman"/>
          <w:b w:val="false"/>
          <w:i w:val="false"/>
          <w:color w:val="000000"/>
          <w:sz w:val="24"/>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will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if a court directs the custodian to treat it as a confidential record, to the extent permitted by another applicable provision of law; or with the consent of the person requesting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2505.5(6)</w:t>
      </w:r>
      <w:r>
        <w:rPr>
          <w:rFonts w:ascii="Times New Roman" w:hAnsi="Times New Roman"/>
          <w:b w:val="false"/>
          <w:i w:val="false"/>
          <w:color w:val="000000"/>
          <w:sz w:val="24"/>
        </w:rPr>
        <w:t> </w:t>
      </w:r>
      <w:r>
        <w:rPr>
          <w:rFonts w:ascii="Times New Roman" w:hAnsi="Times New Roman"/>
          <w:b w:val="false"/>
          <w:i/>
          <w:color w:val="000000"/>
          <w:sz w:val="24"/>
        </w:rPr>
        <w:t xml:space="preserve">Processing of confidentiality claims. </w:t>
      </w:r>
      <w:r>
        <w:rPr>
          <w:rFonts w:ascii="Times New Roman" w:hAnsi="Times New Roman"/>
          <w:b w:val="false"/>
          <w:i w:val="false"/>
          <w:color w:val="000000"/>
          <w:sz w:val="24"/>
        </w:rPr>
        <w:t>In order to request a record be held confidential with the department, the party will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Applicability/availability. Businesses that provide information to the department in applications, reports or otherwise in recorded form, or from or about which information is obtained and recorded by the department, may request that information not be disclosed to others for reasons of business confidentiality. Until such time as a request for confidentiality is received by the department, all information will be available to the public. If a claim is received after the information itself is received, the department will make such efforts as are administratively practicable to associate the claim with all copies of the previously received information. However, the department cannot ensure that such efforts will be effective in light of the possibility of prior disclosure or dissemination of the information beyond the department’s reasonable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Confidentiality request process. An entity that submits information to the department may assert a confidentiality claim in accordance with the following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Attach a cover sheet indicating the entity is seeking the information to be held confidential. The submission will include a letter of substantiation with the information required by paragraph </w:t>
      </w:r>
      <w:hyperlink r:id="rId19">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File two copies of the information: one copy with all information present and a second copy with the information for which the party wishes to claim confidential treatment deleted from the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Contents of claim. All claims for confidentiality must be substantiated with the following information in a letter attached to the proposed confidential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statement of all measures the business has taken to protect the confidentiality of the information and a statement of intent to continue to take such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Practices and policies of other businesses, if known, regarding confidentiality of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statement that the information is not, and has not been, reasonably attainable without the consent of the business by other persons other than government bodies by use of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statement demonstrating that disclosure of the information is likely to cause substantial harm to the business’s competitive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reference to any other determinations of confidential status of the information or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action by department. All claims will be reviewed for completeness and applicability of subrule </w:t>
      </w:r>
      <w:hyperlink r:id="rId20">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If the claim does not include the substantiation required by paragraph </w:t>
      </w:r>
      <w:hyperlink r:id="rId21">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r>
        <w:rPr>
          <w:rFonts w:ascii="Times New Roman" w:hAnsi="Times New Roman"/>
          <w:b w:val="false"/>
          <w:i w:val="false"/>
          <w:color w:val="000000"/>
          <w:sz w:val="24"/>
        </w:rPr>
        <w:t xml:space="preserve"> or if the claim relates to information within subrule </w:t>
      </w:r>
      <w:hyperlink r:id="rId22">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the business making the claim will be notified by certified mail. If the substantiation or comment regarding the inapplicability of subrule </w:t>
      </w:r>
      <w:hyperlink r:id="rId23">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is not received by the department within ten days of the date on the return receipt, the department will place the information in the public file. Otherwise, all information claimed to be confidential will be treated as such by the department until further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Substantive criteria for use in confidentiality determinations. Prior determinations by the courts, the department, or other agencies on the information or similar information will be given due consideration and effect. Determinations will hold that business information is entitled to confidential treatment for the benefit of a particular person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business has taken and intends to continue to take reasonable measures to protect the confidentiality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information is not readily obtainable by others by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claim is not unreasonable in view of the nature of the information, the interests and normal practices of the business, and the practices of other businesses;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statute or rule specifically requires disclosure of the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There is a substantial likelihood that disclosure of the information would cause substantial harm to the competitive position of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Determination. The department will transmit its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will be sent a similar notice in the same manner within ten days of the request. If any substantial comments are received, the final decision will be made by the director or designee. If no substantial comments are received, the preliminary determination becomes the final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procedures within this rule will not be considered contested case proceedings as provided in Iowa Code chapter </w:t>
      </w:r>
      <w:hyperlink r:id="rId2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2505.5(7)</w:t>
      </w:r>
      <w:r>
        <w:rPr>
          <w:rFonts w:ascii="Times New Roman" w:hAnsi="Times New Roman"/>
          <w:b w:val="false"/>
          <w:i w:val="false"/>
          <w:color w:val="000000"/>
          <w:sz w:val="24"/>
        </w:rPr>
        <w:t> </w:t>
      </w:r>
      <w:r>
        <w:rPr>
          <w:rFonts w:ascii="Times New Roman" w:hAnsi="Times New Roman"/>
          <w:b w:val="false"/>
          <w:i/>
          <w:color w:val="000000"/>
          <w:sz w:val="24"/>
        </w:rPr>
        <w:t xml:space="preserve">Confidential records. </w:t>
      </w:r>
      <w:r>
        <w:rPr>
          <w:rFonts w:ascii="Times New Roman" w:hAnsi="Times New Roman"/>
          <w:b w:val="false"/>
          <w:i w:val="false"/>
          <w:color w:val="000000"/>
          <w:sz w:val="24"/>
        </w:rPr>
        <w:t>The following records may be withheld from public inspection. Records are listed by category, according to the legal basis for withholding them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Sealed bids received prior to the time set for public opening of bids;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Tax records made available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are exempt from disclosure under Iowa Code section </w:t>
      </w:r>
      <w:hyperlink r:id="rId25">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Minutes of closed meetings of a government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Identifying details in final orders, decisions, and opinions to the extent required to prevent a clearly unwarranted invasion of personal privacy or trade secrets;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Those portions of the department’s staff manuals, instructions, or other statements issued that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Enable law violators to avoid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Facilitate disregard of requirements imposed by law;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Give a clearly improper advantage to persons who are in an adverse position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constitute attorney work product, constitute attorney-client communications, or are otherwise privileged. Attorney work product is confidential under Iowa Code sections </w:t>
      </w:r>
      <w:hyperlink r:id="rId26">
        <w:r>
          <w:rPr>
            <w:rStyle w:val="Hyperlink"/>
            <w:rFonts w:ascii="Times New Roman" w:hAnsi="Times New Roman"/>
            <w:b w:val="false"/>
            <w:i w:val="false"/>
            <w:color w:val="000000"/>
            <w:sz w:val="24"/>
          </w:rPr>
          <w:t>22.7(4)</w:t>
        </w:r>
      </w:hyperlink>
      <w:r>
        <w:rPr>
          <w:rFonts w:ascii="Times New Roman" w:hAnsi="Times New Roman"/>
          <w:b w:val="false"/>
          <w:i w:val="false"/>
          <w:color w:val="000000"/>
          <w:sz w:val="24"/>
        </w:rPr>
        <w:t xml:space="preserve">, </w:t>
      </w:r>
      <w:hyperlink r:id="rId27">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xml:space="preserve">; Iowa R.C.P. 1.503(3); Fed. R. Civ. P. 26(b)(3); and case law. Attorney-client communications are confidential under Iowa Code sections </w:t>
      </w:r>
      <w:hyperlink r:id="rId29">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the rules of evidence, the Code of Professional Responsibility, and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records made confidential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2505.5(8)</w:t>
      </w:r>
      <w:r>
        <w:rPr>
          <w:rFonts w:ascii="Times New Roman" w:hAnsi="Times New Roman"/>
          <w:b w:val="false"/>
          <w:i w:val="false"/>
          <w:color w:val="000000"/>
          <w:sz w:val="24"/>
        </w:rPr>
        <w:t> </w:t>
      </w:r>
      <w:r>
        <w:rPr>
          <w:rFonts w:ascii="Times New Roman" w:hAnsi="Times New Roman"/>
          <w:b w:val="false"/>
          <w:i/>
          <w:color w:val="000000"/>
          <w:sz w:val="24"/>
        </w:rPr>
        <w:t xml:space="preserve">Not confidential. </w:t>
      </w:r>
      <w:r>
        <w:rPr>
          <w:rFonts w:ascii="Times New Roman" w:hAnsi="Times New Roman"/>
          <w:b w:val="false"/>
          <w:i w:val="false"/>
          <w:color w:val="000000"/>
          <w:sz w:val="24"/>
        </w:rPr>
        <w:t>Notwithstanding any other provision, the following information will not be considered confidential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Emission data. For purposes of this subrule, “emission data” means the following, with reference to any source of emission of any substance into the 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any emission that has been emitted by the source (or of any pollutant resulting from any emission by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the emissions that, under an applicable standard or limitation, the source was authorized to emit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Analytical results of monitoring or public water supply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Name and address of any permit applicant;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NPDES permits, applications (including any information required by NPDES application forms), and effluent data. For purposes of this subrule, “effluent data” means the following, with reference to any source of discharge of any pollutant: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any pollutant that has been emitted by the source (or of any pollutant resulting from any discharge from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the pollutants that, under an applicable standard or limitation, the source was authorized to discharge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i w:val="false"/>
          <w:color w:val="000000"/>
          <w:sz w:val="24"/>
        </w:rPr>
        <w:t>571—2505.9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This rule describes the nature and extent of personally identifiable information that is collected, maintained, and retrieved by the department of natural resources by personal identifier in record systems. For the purposes of this rule, “record system” means any group of records under the control of the agency from which a record may be retrieved by a personal identifier, such as the name of an individual, number, symbol, or other unique retriever assigned to an individual. Records maintained by the department of natural resources, the environmental protection commission, and the natural resource commission are in accordance with guidelines as set forth by the state records commission’s file system. An updated index is maintained by the department and is available for public inspection. Records are collected pursuant to authorities contained in Iowa Code title XI. Records are stored on paper; microfilm; microfiche; and, in some cases, automated data processing systems, such as electronic management systems and department web applications. Department of natural resources and natural resource commission records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val="false"/>
          <w:color w:val="000000"/>
          <w:sz w:val="24"/>
        </w:rPr>
        <w:t>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organization, and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Organization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Planning and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Administrative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Insurance and bonding.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Departmental emergency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Correspondence and reference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and public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Budgets, accounting and financial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Budget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Office services and facilities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Printing and reproduction.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Records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Motor pool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Facilities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Engineering and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Equipment, supplies, and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Procurement.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Property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Legislative and legal.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Department legislative liaison.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Bills, joint resolutions, amendments, messages,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Administrative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Attorney general opinions and research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Claims against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Lawsuits filed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28E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Personnel and payroll.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Employee personnel/payroll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Merit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Payroll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Position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Certification and selection.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Scheduling, assignments, and working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Grievances.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Employee benefits and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Employment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Equal employment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Management improvement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Delegation of authority and signature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Conservation and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Surface and groundwater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Natural resources geographic information system (GIS) library.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Oil/gas exploration and drilling.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Water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Land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Soil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Forestry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Fish and game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Recreation.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Environmental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Air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Water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Land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Hazardous material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Hazardous waste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Leaking 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Radioactive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Environmental—interdisciplinary.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val="false"/>
          <w:color w:val="000000"/>
          <w:sz w:val="24"/>
        </w:rPr>
        <w:t>Natural resource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Tort claims investigations.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Numerous licensing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Lifetime licenses.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Boat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Docks, mooring, buoys or raft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Snowmobile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Miscellaneous mailing list (e.g., magazine).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Payroll and personnel information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Fur buyer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Fish and game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Safety certified students (hunter safety, snowmobile safety, boating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Special events applications and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Snowmobile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Boating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Drowning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Timber buyer reports and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Work programs with Iowa State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Timber management and forestry.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State park ranger violation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Incident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Donations.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Real estate acquisition.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Encroachments.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Campground host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Law enforcement intelligence network (LEIN) and turn in poachers (TIP).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Park leases and concessions.</w:t>
      </w:r>
    </w:p>
    <w:p>
      <w:pPr>
        <w:spacing w:before="0" w:after="0" w:line="480"/>
        <w:ind w:left="120"/>
        <w:jc w:val="both"/>
      </w:pPr>
      <w:r>
        <w:rPr>
          <w:rFonts w:ascii="Times New Roman" w:hAnsi="Times New Roman"/>
          <w:b/>
          <w:i w:val="false"/>
          <w:color w:val="000000"/>
          <w:sz w:val="24"/>
        </w:rPr>
        <w:t>571—2505.10</w:t>
      </w:r>
      <w:r>
        <w:rPr>
          <w:rFonts w:ascii="Times New Roman" w:hAnsi="Times New Roman"/>
          <w:b/>
          <w:i w:val="false"/>
          <w:color w:val="000000"/>
          <w:sz w:val="24"/>
        </w:rPr>
        <w:t xml:space="preserve">(17A,22)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 xml:space="preserve">This rule describes groups of records maintained by the department of natural resources other than record systems as defined in rule </w:t>
      </w:r>
      <w:hyperlink r:id="rId31">
        <w:r>
          <w:rPr>
            <w:rStyle w:val="Hyperlink"/>
            <w:rFonts w:ascii="Times New Roman" w:hAnsi="Times New Roman"/>
            <w:b w:val="false"/>
            <w:i w:val="false"/>
            <w:color w:val="000000"/>
            <w:sz w:val="24"/>
          </w:rPr>
          <w:t>571—2505.9</w:t>
        </w:r>
      </w:hyperlink>
      <w:r>
        <w:rPr>
          <w:rFonts w:ascii="Times New Roman" w:hAnsi="Times New Roman"/>
          <w:b w:val="false"/>
          <w:i w:val="false"/>
          <w:color w:val="000000"/>
          <w:sz w:val="24"/>
        </w:rPr>
        <w:t>(17A,22). These records are routinely available to the public. However, the department’s files of these records may contain confidential information. In addition, some records may contain information about individuals. Records are stored on paper; microfilm; microfiche; and, in some cases, automated data processing systems, such as electronic management systems and department web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color w:val="000000"/>
          <w:sz w:val="24"/>
        </w:rPr>
        <w:t xml:space="preserve">Rulemaking. </w:t>
      </w:r>
      <w:r>
        <w:rPr>
          <w:rFonts w:ascii="Times New Roman" w:hAnsi="Times New Roman"/>
          <w:b w:val="false"/>
          <w:i w:val="false"/>
          <w:color w:val="000000"/>
          <w:sz w:val="24"/>
        </w:rPr>
        <w:t xml:space="preserve">Rulemaking records may contain information about individuals making written or oral comments on proposed rules. This information is collected pursuant to Iowa Code section </w:t>
      </w:r>
      <w:hyperlink r:id="rId32">
        <w:r>
          <w:rPr>
            <w:rStyle w:val="Hyperlink"/>
            <w:rFonts w:ascii="Times New Roman" w:hAnsi="Times New Roman"/>
            <w:b w:val="false"/>
            <w:i w:val="false"/>
            <w:color w:val="000000"/>
            <w:sz w:val="24"/>
          </w:rPr>
          <w:t>17A.4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color w:val="000000"/>
          <w:sz w:val="24"/>
        </w:rPr>
        <w:t xml:space="preserve">Commission records. </w:t>
      </w:r>
      <w:r>
        <w:rPr>
          <w:rFonts w:ascii="Times New Roman" w:hAnsi="Times New Roman"/>
          <w:b w:val="false"/>
          <w:i w:val="false"/>
          <w:color w:val="000000"/>
          <w:sz w:val="24"/>
        </w:rPr>
        <w:t xml:space="preserve">Agendas, minutes, and materials presented to the environmental protection commission and the natural resource commission are available from the office of the director, except these records concerning closed sessions that are confidential under Iowa Code section </w:t>
      </w:r>
      <w:hyperlink r:id="rId33">
        <w:r>
          <w:rPr>
            <w:rStyle w:val="Hyperlink"/>
            <w:rFonts w:ascii="Times New Roman" w:hAnsi="Times New Roman"/>
            <w:b w:val="false"/>
            <w:i w:val="false"/>
            <w:color w:val="000000"/>
            <w:sz w:val="24"/>
          </w:rPr>
          <w:t>21.5(5)</w:t>
        </w:r>
      </w:hyperlink>
      <w:r>
        <w:rPr>
          <w:rFonts w:ascii="Times New Roman" w:hAnsi="Times New Roman"/>
          <w:b w:val="false"/>
          <w:i w:val="false"/>
          <w:color w:val="000000"/>
          <w:sz w:val="24"/>
        </w:rPr>
        <w:t xml:space="preserve">. Commission records contain information about people who participate in meetings. This information is collected pursuant to Iowa Code section </w:t>
      </w:r>
      <w:hyperlink r:id="rId34">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color w:val="000000"/>
          <w:sz w:val="24"/>
        </w:rPr>
        <w:t xml:space="preserve">Publications. </w:t>
      </w:r>
      <w:r>
        <w:rPr>
          <w:rFonts w:ascii="Times New Roman" w:hAnsi="Times New Roman"/>
          <w:b w:val="false"/>
          <w:i w:val="false"/>
          <w:color w:val="000000"/>
          <w:sz w:val="24"/>
        </w:rPr>
        <w:t>News releases, annual reports, Iowa Outdoors magazine, project reports, agency newsletters, etc., are available from the department offices for public information. Brochures describing various department programs are available at local offices of the department. Department news releases, project reports, Iowa Outdoors magazine, and newsletters may contain information about individuals, including department staff or members of the commission or committees.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color w:val="000000"/>
          <w:sz w:val="24"/>
        </w:rPr>
        <w:t xml:space="preserve">Statistical reports. </w:t>
      </w:r>
      <w:r>
        <w:rPr>
          <w:rFonts w:ascii="Times New Roman" w:hAnsi="Times New Roman"/>
          <w:b w:val="false"/>
          <w:i w:val="false"/>
          <w:color w:val="000000"/>
          <w:sz w:val="24"/>
        </w:rPr>
        <w:t>Periodic reports for various department programs are available from the department offices for public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color w:val="000000"/>
          <w:sz w:val="24"/>
        </w:rPr>
        <w:t xml:space="preserve">Grants or loans. </w:t>
      </w:r>
      <w:r>
        <w:rPr>
          <w:rFonts w:ascii="Times New Roman" w:hAnsi="Times New Roman"/>
          <w:b w:val="false"/>
          <w:i w:val="false"/>
          <w:color w:val="000000"/>
          <w:sz w:val="24"/>
        </w:rPr>
        <w:t>Records on persons and institutions receiving grants or loans are available through the institutions, also for public information. The records may contain information about employees of a grantee.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2505.10(6)</w:t>
      </w:r>
      <w:r>
        <w:rPr>
          <w:rFonts w:ascii="Times New Roman" w:hAnsi="Times New Roman"/>
          <w:b w:val="false"/>
          <w:i w:val="false"/>
          <w:color w:val="000000"/>
          <w:sz w:val="24"/>
        </w:rPr>
        <w:t> </w:t>
      </w:r>
      <w:r>
        <w:rPr>
          <w:rFonts w:ascii="Times New Roman" w:hAnsi="Times New Roman"/>
          <w:b w:val="false"/>
          <w:i/>
          <w:color w:val="000000"/>
          <w:sz w:val="24"/>
        </w:rPr>
        <w:t xml:space="preserve">Published materials. </w:t>
      </w:r>
      <w:r>
        <w:rPr>
          <w:rFonts w:ascii="Times New Roman" w:hAnsi="Times New Roman"/>
          <w:b w:val="false"/>
          <w:i w:val="false"/>
          <w:color w:val="000000"/>
          <w:sz w:val="24"/>
        </w:rPr>
        <w:t>The department of natural resources uses many legal and technical publications in its work. The public may inspect these publications upon request. Some of these materials may be protected by copyright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2505.10(7)</w:t>
      </w:r>
      <w:r>
        <w:rPr>
          <w:rFonts w:ascii="Times New Roman" w:hAnsi="Times New Roman"/>
          <w:b w:val="false"/>
          <w:i w:val="false"/>
          <w:color w:val="000000"/>
          <w:sz w:val="24"/>
        </w:rPr>
        <w:t> </w:t>
      </w:r>
      <w:r>
        <w:rPr>
          <w:rFonts w:ascii="Times New Roman" w:hAnsi="Times New Roman"/>
          <w:b w:val="false"/>
          <w:i/>
          <w:color w:val="000000"/>
          <w:sz w:val="24"/>
        </w:rPr>
        <w:t xml:space="preserve">Policy manuals. </w:t>
      </w:r>
      <w:r>
        <w:rPr>
          <w:rFonts w:ascii="Times New Roman" w:hAnsi="Times New Roman"/>
          <w:b w:val="false"/>
          <w:i w:val="false"/>
          <w:color w:val="000000"/>
          <w:sz w:val="24"/>
        </w:rPr>
        <w:t>The department of natural resources employees’ manual, containing the policies and procedures for programs administered by the department, is available in every office of the department. Policy manuals do not contain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2505.10(8)</w:t>
      </w:r>
      <w:r>
        <w:rPr>
          <w:rFonts w:ascii="Times New Roman" w:hAnsi="Times New Roman"/>
          <w:b w:val="false"/>
          <w:i w:val="false"/>
          <w:color w:val="000000"/>
          <w:sz w:val="24"/>
        </w:rPr>
        <w:t> </w:t>
      </w:r>
      <w:r>
        <w:rPr>
          <w:rFonts w:ascii="Times New Roman" w:hAnsi="Times New Roman"/>
          <w:b w:val="false"/>
          <w:i/>
          <w:color w:val="000000"/>
          <w:sz w:val="24"/>
        </w:rPr>
        <w:t xml:space="preserve">All other records that are not exempted from disclosure by law. </w:t>
      </w:r>
      <w:r>
        <w:rPr>
          <w:rFonts w:ascii="Times New Roman" w:hAnsi="Times New Roman"/>
          <w:b w:val="false"/>
          <w:i w:val="false"/>
          <w:color w:val="000000"/>
          <w:sz w:val="24"/>
        </w:rPr>
        <w:t>The department maintains a variety of records that do not generally contain information pertaining to named individuals.</w:t>
      </w:r>
    </w:p>
    <w:p>
      <w:pPr>
        <w:spacing w:before="0" w:after="0" w:line="48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571—Chapter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35">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3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3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571—2506.4</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requests for contested case proceeding.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2506.4(1)</w:t>
      </w:r>
      <w:r>
        <w:rPr>
          <w:rFonts w:ascii="Times New Roman" w:hAnsi="Times New Roman"/>
          <w:b w:val="false"/>
          <w:i w:val="false"/>
          <w:color w:val="000000"/>
          <w:sz w:val="24"/>
        </w:rPr>
        <w:t> </w:t>
      </w:r>
      <w:r>
        <w:rPr>
          <w:rFonts w:ascii="Times New Roman" w:hAnsi="Times New Roman"/>
          <w:b w:val="false"/>
          <w:i w:val="false"/>
          <w:color w:val="000000"/>
          <w:sz w:val="24"/>
        </w:rPr>
        <w:t>A person entitled to a contested case proceeding must electronically file written request for such a proceeding within the time specified by the governing rules or statutes or, if no rule or statute sets such a time, within 60 days.</w:t>
      </w:r>
    </w:p>
    <w:p>
      <w:pPr>
        <w:spacing w:before="0" w:after="0" w:line="480"/>
        <w:ind w:left="120"/>
        <w:jc w:val="both"/>
      </w:pPr>
    </w:p>
    <w:p>
      <w:pPr>
        <w:spacing w:before="0" w:after="0" w:line="480"/>
        <w:ind w:left="120"/>
        <w:jc w:val="left"/>
      </w:pPr>
      <w:bookmarkStart w:name="lastARC" w:id="2"/>
      <w:bookmarkEnd w:id="2"/>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elli.book@dnr.iowa.gov" Type="http://schemas.openxmlformats.org/officeDocument/2006/relationships/hyperlink" Id="rId4"/>
    <Relationship TargetMode="External" Target="mailto:kelli.book@dnr.iowa.gov" Type="http://schemas.openxmlformats.org/officeDocument/2006/relationships/hyperlink" Id="rId5"/>
    <Relationship TargetMode="External" Target="mailto:kelli.book@dnr.iowa.gov" Type="http://schemas.openxmlformats.org/officeDocument/2006/relationships/hyperlink" Id="rId6"/>
    <Relationship TargetMode="External" Target="mailto:kelli.book@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kelli.book@dnr.iowa.gov" Type="http://schemas.openxmlformats.org/officeDocument/2006/relationships/hyperlink" Id="rId9"/>
    <Relationship TargetMode="External" Target="mailto:civilrights@dnr.iowa.gov" Type="http://schemas.openxmlformats.org/officeDocument/2006/relationships/hyperlink" Id="rId10"/>
    <Relationship TargetMode="External" Target="https://www.legis.iowa.gov/committees/meetings/meetingsListComm?groupID=705&amp;ga=91" Type="http://schemas.openxmlformats.org/officeDocument/2006/relationships/hyperlink" Id="rId11"/>
    <Relationship TargetMode="External" Target="https://www.legis.iowa.gov/docs/iac/chapter/7.2500.pdf" Type="http://schemas.openxmlformats.org/officeDocument/2006/relationships/hyperlink" Id="rId12"/>
    <Relationship TargetMode="External" Target="https://www.legis.iowa.gov/docs/iac/chapter/7.2506.pdf" Type="http://schemas.openxmlformats.org/officeDocument/2006/relationships/hyperlink" Id="rId13"/>
    <Relationship TargetMode="External" Target="https://www.legis.iowa.gov/docs/ico/chapter/17A.24.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8.pdf" Type="http://schemas.openxmlformats.org/officeDocument/2006/relationships/hyperlink" Id="rId18"/>
    <Relationship TargetMode="External" Target="https://www.legis.iowa.gov/docs/iac/rule/571.2505.5.pdf" Type="http://schemas.openxmlformats.org/officeDocument/2006/relationships/hyperlink" Id="rId19"/>
    <Relationship TargetMode="External" Target="https://www.legis.iowa.gov/docs/iac/rule/571.2505.5.pdf" Type="http://schemas.openxmlformats.org/officeDocument/2006/relationships/hyperlink" Id="rId20"/>
    <Relationship TargetMode="External" Target="https://www.legis.iowa.gov/docs/iac/rule/571.2505.5.pdf" Type="http://schemas.openxmlformats.org/officeDocument/2006/relationships/hyperlink" Id="rId21"/>
    <Relationship TargetMode="External" Target="https://www.legis.iowa.gov/docs/iac/rule/571.2505.5.pdf" Type="http://schemas.openxmlformats.org/officeDocument/2006/relationships/hyperlink" Id="rId22"/>
    <Relationship TargetMode="External" Target="https://www.legis.iowa.gov/docs/iac/rule/571.2505.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622.10.pdf" Type="http://schemas.openxmlformats.org/officeDocument/2006/relationships/hyperlink" Id="rId27"/>
    <Relationship TargetMode="External" Target="https://www.legis.iowa.gov/docs/ico/chapter/622.11.pdf" Type="http://schemas.openxmlformats.org/officeDocument/2006/relationships/hyperlink" Id="rId28"/>
    <Relationship TargetMode="External" Target="https://www.legis.iowa.gov/docs/ico/chapter/622.10.pdf" Type="http://schemas.openxmlformats.org/officeDocument/2006/relationships/hyperlink" Id="rId29"/>
    <Relationship TargetMode="External" Target="https://www.legis.iowa.gov/docs/ico/chapter/622.11.pdf" Type="http://schemas.openxmlformats.org/officeDocument/2006/relationships/hyperlink" Id="rId30"/>
    <Relationship TargetMode="External" Target="https://www.legis.iowa.gov/docs/iac/rule/571.2505.9.pdf" Type="http://schemas.openxmlformats.org/officeDocument/2006/relationships/hyperlink" Id="rId31"/>
    <Relationship TargetMode="External" Target="https://www.legis.iowa.gov/docs/ico/chapter/17A.4.pdf" Type="http://schemas.openxmlformats.org/officeDocument/2006/relationships/hyperlink" Id="rId32"/>
    <Relationship TargetMode="External" Target="https://www.legis.iowa.gov/docs/ico/chapter/21.5.pdf" Type="http://schemas.openxmlformats.org/officeDocument/2006/relationships/hyperlink" Id="rId33"/>
    <Relationship TargetMode="External" Target="https://www.legis.iowa.gov/docs/ico/chapter/21.3.pdf" Type="http://schemas.openxmlformats.org/officeDocument/2006/relationships/hyperlink" Id="rId34"/>
    <Relationship TargetMode="External" Target="https://www.legis.iowa.gov/docs/iac/chapter/7.2500.pdf" Type="http://schemas.openxmlformats.org/officeDocument/2006/relationships/hyperlink" Id="rId35"/>
    <Relationship TargetMode="External" Target="https://www.legis.iowa.gov/docs/iac/chapter/7.2506.pdf" Type="http://schemas.openxmlformats.org/officeDocument/2006/relationships/hyperlink" Id="rId36"/>
    <Relationship TargetMode="External" Target="https://www.legis.iowa.gov/docs/ico/chapter/17A.24.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