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53D" w:id="1"/>
    <w:p>
      <w:pPr>
        <w:spacing w:before="0" w:after="0" w:line="480"/>
        <w:ind w:left="120"/>
        <w:jc w:val="right"/>
      </w:pPr>
      <w:r>
        <w:rPr>
          <w:rFonts w:ascii="Times New Roman" w:hAnsi="Times New Roman"/>
          <w:b/>
          <w:i w:val="false"/>
          <w:color w:val="000000"/>
          <w:sz w:val="28"/>
        </w:rPr>
        <w:t>ARC 0653D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open enrollment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amend Chapter 17, “Open Enrollment and Other Enrollment Options,”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282.18.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House File 2754.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adds a reporting requirement enacted by 2026 Iowa Acts, House File 2754, and makes a technical terminology change. The Department of Education published a Regulatory Analysis, the public comment period of which closed on September 8, 2026.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State Board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A public hearing at which persons may present their views orally or in writing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81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8 to 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Room B50</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 xml:space="preserve"> Via videoconference:</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meet.google.com/sib-mznu-iuf</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State Board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17.2(3)“f”</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receiving district that denies a request for open enrollment will comply with Iowa Code section </w:t>
      </w:r>
      <w:hyperlink r:id="rId7">
        <w:r>
          <w:rPr>
            <w:rStyle w:val="Hyperlink"/>
            <w:rFonts w:ascii="Times New Roman" w:hAnsi="Times New Roman"/>
            <w:b w:val="false"/>
            <w:i w:val="false"/>
            <w:color w:val="000000"/>
            <w:sz w:val="24"/>
          </w:rPr>
          <w:t>282.18(2)</w:t>
        </w:r>
      </w:hyperlink>
      <w:r>
        <w:rPr>
          <w:rFonts w:ascii="Times New Roman" w:hAnsi="Times New Roman"/>
          <w:b w:val="false"/>
          <w:i/>
          <w:color w:val="000000"/>
          <w:sz w:val="24"/>
        </w:rPr>
        <w:t>“b”</w:t>
      </w:r>
      <w:r>
        <w:rPr>
          <w:rFonts w:ascii="Times New Roman" w:hAnsi="Times New Roman"/>
          <w:b w:val="false"/>
          <w:i w:val="false"/>
          <w:color w:val="000000"/>
          <w:sz w:val="24"/>
        </w:rPr>
        <w:t xml:space="preserve">(2) as amended by </w:t>
      </w:r>
      <w:r>
        <w:rPr>
          <w:rFonts w:ascii="Times New Roman" w:hAnsi="Times New Roman"/>
          <w:b w:val="false"/>
          <w:i w:val="false"/>
          <w:color w:val="000000"/>
          <w:sz w:val="24"/>
        </w:rPr>
        <w:t>2026 Iowa Acts, House File 2754</w:t>
      </w:r>
      <w:r>
        <w:rPr>
          <w:rFonts w:ascii="Times New Roman" w:hAnsi="Times New Roman"/>
          <w:b w:val="false"/>
          <w:i w:val="false"/>
          <w:color w:val="000000"/>
          <w:sz w:val="24"/>
        </w:rPr>
        <w:t>, section 95.</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281—17.10(282)</w:t>
      </w:r>
      <w:r>
        <w:rPr>
          <w:rFonts w:ascii="Times New Roman" w:hAnsi="Times New Roman"/>
          <w:b w:val="false"/>
          <w:i w:val="false"/>
          <w:color w:val="000000"/>
          <w:sz w:val="24"/>
        </w:rPr>
        <w:t>, catchwords</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281—17.10</w:t>
      </w:r>
      <w:r>
        <w:rPr>
          <w:rFonts w:ascii="Times New Roman" w:hAnsi="Times New Roman"/>
          <w:b/>
          <w:i w:val="false"/>
          <w:color w:val="000000"/>
          <w:sz w:val="24"/>
        </w:rPr>
        <w:t xml:space="preserve">(282) </w:t>
      </w:r>
      <w:r>
        <w:rPr>
          <w:rFonts w:ascii="Times New Roman" w:hAnsi="Times New Roman"/>
          <w:b/>
          <w:i w:val="false"/>
          <w:strike/>
          <w:color w:val="000000"/>
          <w:sz w:val="24"/>
        </w:rPr>
        <w:t>Special education students</w:t>
      </w:r>
      <w:r>
        <w:rPr>
          <w:rFonts w:ascii="Times New Roman" w:hAnsi="Times New Roman"/>
          <w:b/>
          <w:i w:val="false"/>
          <w:color w:val="000000"/>
          <w:sz w:val="24"/>
          <w:u w:val="single"/>
        </w:rPr>
        <w:t> </w:t>
      </w:r>
      <w:r>
        <w:rPr>
          <w:rFonts w:ascii="Times New Roman" w:hAnsi="Times New Roman"/>
          <w:b/>
          <w:i w:val="false"/>
          <w:color w:val="000000"/>
          <w:sz w:val="24"/>
          <w:u w:val="single"/>
        </w:rPr>
        <w:t>Students requiring special education services</w:t>
      </w:r>
      <w:r>
        <w:rPr>
          <w:rFonts w:ascii="Times New Roman" w:hAnsi="Times New Roman"/>
          <w:b/>
          <w:i w:val="false"/>
          <w:color w:val="000000"/>
          <w:sz w:val="24"/>
        </w:rPr>
        <w:t xml:space="preserve">. </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sib-mznu-iuf"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282.18.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