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line="480"/>
        <w:ind w:left="120"/>
        <w:jc w:val="left"/>
      </w:pPr>
      <w:bookmarkStart w:name="firstARC" w:id="0"/>
      <w:bookmarkEnd w:id="0"/>
    </w:p>
    <w:bookmarkStart w:name="arc0650D" w:id="1"/>
    <w:p>
      <w:pPr>
        <w:spacing w:before="0" w:after="0" w:line="480"/>
        <w:ind w:left="120"/>
        <w:jc w:val="right"/>
      </w:pPr>
      <w:r>
        <w:rPr>
          <w:rFonts w:ascii="Times New Roman" w:hAnsi="Times New Roman"/>
          <w:b/>
          <w:i w:val="false"/>
          <w:color w:val="000000"/>
          <w:sz w:val="28"/>
        </w:rPr>
        <w:t>ARC 0650D</w:t>
      </w:r>
    </w:p>
    <w:bookmarkEnd w:id="1"/>
    <w:p>
      <w:pPr>
        <w:pBdr>
          <w:top w:space="5"/>
        </w:pBdr>
        <w:spacing w:before="0" w:after="0" w:line="480"/>
        <w:ind w:left="120"/>
        <w:jc w:val="center"/>
      </w:pPr>
      <w:r>
        <w:rPr>
          <w:rFonts w:ascii="Times New Roman" w:hAnsi="Times New Roman"/>
          <w:b/>
          <w:i w:val="false"/>
          <w:color w:val="000000"/>
          <w:sz w:val="28"/>
        </w:rPr>
        <w:t>EDUCATION DEPARTMENT[281]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Proposing rulemaking related to equal employment opportunity and affirmative action in educational agencies 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State Board of Education hereby proposes to amend Chapter 95, “Equal Employment Opportunity and Affirmative Action in Educational Agencies,”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19B.11.</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 19B.11 and 2026 Iowa Acts, House File 2711.</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implements amendments made to Iowa Code section 19B.11 by 2026 Iowa Acts, House File 2711. The Department of Education published a Regulatory Analysis, the public comment period of which closed on August 25, 2026.</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August 5,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August 25,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State Board for a waiver of the discretionary provisions, if any, pursuant to 7—Chapter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State Board no later than 4:30 p.m. on November 3,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1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Thomas A. Mayes </w:t>
            </w:r>
            <w:r>
              <w:br/>
            </w:r>
            <w:r>
              <w:rPr>
                <w:rFonts w:ascii="Times New Roman" w:hAnsi="Times New Roman"/>
                <w:b w:val="false"/>
                <w:i w:val="false"/>
                <w:color w:val="000000"/>
                <w:sz w:val="14"/>
              </w:rPr>
              <w:t xml:space="preserve">Iowa Department of Education </w:t>
            </w:r>
            <w:r>
              <w:br/>
            </w:r>
            <w:r>
              <w:rPr>
                <w:rFonts w:ascii="Times New Roman" w:hAnsi="Times New Roman"/>
                <w:b w:val="false"/>
                <w:i w:val="false"/>
                <w:color w:val="000000"/>
                <w:sz w:val="14"/>
              </w:rPr>
              <w:t>Grimes State Office Building</w:t>
            </w:r>
            <w:r>
              <w:br/>
            </w:r>
            <w:r>
              <w:rPr>
                <w:rFonts w:ascii="Times New Roman" w:hAnsi="Times New Roman"/>
                <w:b w:val="false"/>
                <w:i w:val="false"/>
                <w:color w:val="000000"/>
                <w:sz w:val="14"/>
              </w:rPr>
              <w:t>400 East 14th Street</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Phone: 515.281.8661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thomas.mayes@iowa.gov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A public hearing at which persons may present their views orally or in writing will be held as follows:</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810"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November 3, 2026</w:t>
            </w:r>
            <w:r>
              <w:br/>
            </w:r>
            <w:r>
              <w:rPr>
                <w:rFonts w:ascii="Times New Roman" w:hAnsi="Times New Roman"/>
                <w:b w:val="false"/>
                <w:i w:val="false"/>
                <w:color w:val="000000"/>
                <w:sz w:val="14"/>
              </w:rPr>
              <w:t xml:space="preserve"> 8 to 9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Room B50</w:t>
            </w:r>
            <w:r>
              <w:br/>
            </w:r>
            <w:r>
              <w:rPr>
                <w:rFonts w:ascii="Times New Roman" w:hAnsi="Times New Roman"/>
                <w:b w:val="false"/>
                <w:i w:val="false"/>
                <w:color w:val="000000"/>
                <w:sz w:val="14"/>
              </w:rPr>
              <w:t xml:space="preserve"> Grimes State Office Building</w:t>
            </w:r>
            <w:r>
              <w:br/>
            </w:r>
            <w:r>
              <w:rPr>
                <w:rFonts w:ascii="Times New Roman" w:hAnsi="Times New Roman"/>
                <w:b w:val="false"/>
                <w:i w:val="false"/>
                <w:color w:val="000000"/>
                <w:sz w:val="14"/>
              </w:rPr>
              <w:t xml:space="preserve"> Des Moines, Iowa</w:t>
            </w:r>
            <w:r>
              <w:br/>
            </w:r>
            <w:r>
              <w:rPr>
                <w:rFonts w:ascii="Times New Roman" w:hAnsi="Times New Roman"/>
                <w:b w:val="false"/>
                <w:i w:val="false"/>
                <w:color w:val="000000"/>
                <w:sz w:val="14"/>
              </w:rPr>
              <w:t xml:space="preserve"> Via videoconference:</w:t>
            </w:r>
            <w:r>
              <w:br/>
            </w:r>
            <w:r>
              <w:rPr>
                <w:rFonts w:ascii="Times New Roman" w:hAnsi="Times New Roman"/>
                <w:b w:val="false"/>
                <w:i w:val="false"/>
                <w:color w:val="000000"/>
                <w:sz w:val="14"/>
              </w:rPr>
              <w:t xml:space="preserve"> </w:t>
            </w:r>
            <w:hyperlink r:id="rId5">
              <w:r>
                <w:rPr>
                  <w:rStyle w:val="Hyperlink"/>
                  <w:rFonts w:ascii="Times New Roman" w:hAnsi="Times New Roman"/>
                  <w:b w:val="false"/>
                  <w:i w:val="false"/>
                  <w:color w:val="0000ff"/>
                  <w:sz w:val="14"/>
                </w:rPr>
                <w:t>meet.google.com/sib-mznu-iuf</w:t>
              </w:r>
            </w:hyperlink>
            <w:r>
              <w:br/>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the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the public hearing and have special requirements, such as those related to hearing or mobility impairments, should contact the State Board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6">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w:t>
      </w:r>
      <w:r>
        <w:rPr>
          <w:rFonts w:ascii="Times New Roman" w:hAnsi="Times New Roman"/>
          <w:b/>
          <w:i w:val="false"/>
          <w:color w:val="000000"/>
          <w:sz w:val="24"/>
        </w:rPr>
        <w:t>281—Chapter 95</w:t>
      </w:r>
      <w:r>
        <w:rPr>
          <w:rFonts w:ascii="Times New Roman" w:hAnsi="Times New Roman"/>
          <w:b w:val="false"/>
          <w:i w:val="false"/>
          <w:color w:val="000000"/>
          <w:sz w:val="24"/>
        </w:rPr>
        <w:t>, title</w:t>
      </w:r>
      <w:r>
        <w:rPr>
          <w:rFonts w:ascii="Times New Roman" w:hAnsi="Times New Roman"/>
          <w:b w:val="false"/>
          <w:i w:val="false"/>
          <w:color w:val="000000"/>
          <w:sz w:val="24"/>
        </w:rPr>
        <w:t>, as follows:</w:t>
      </w:r>
    </w:p>
    <w:p>
      <w:pPr>
        <w:spacing w:before="0" w:after="0" w:line="480"/>
        <w:ind w:left="120"/>
        <w:jc w:val="center"/>
      </w:pPr>
      <w:r>
        <w:rPr>
          <w:rFonts w:ascii="Times New Roman" w:hAnsi="Times New Roman"/>
          <w:b w:val="false"/>
          <w:i w:val="false"/>
          <w:color w:val="000000"/>
          <w:sz w:val="21"/>
        </w:rPr>
        <w:t xml:space="preserve">EQUAL EMPLOYMENT OPPORTUNITY </w:t>
      </w:r>
      <w:r>
        <w:br/>
      </w:r>
      <w:r>
        <w:rPr>
          <w:rFonts w:ascii="Times New Roman" w:hAnsi="Times New Roman"/>
          <w:b w:val="false"/>
          <w:i w:val="false"/>
          <w:strike/>
          <w:color w:val="000000"/>
          <w:sz w:val="24"/>
        </w:rPr>
        <w:t>AND AFFIRMATIVE ACTION</w:t>
      </w:r>
      <w:r>
        <w:rPr>
          <w:rFonts w:ascii="Times New Roman" w:hAnsi="Times New Roman"/>
          <w:b w:val="false"/>
          <w:i w:val="false"/>
          <w:color w:val="000000"/>
          <w:sz w:val="21"/>
        </w:rPr>
        <w:t xml:space="preserve"> IN EDUCATIONAL AGENCIES</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281—95.1(19B)</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281—95.1</w:t>
      </w:r>
      <w:r>
        <w:rPr>
          <w:rFonts w:ascii="Times New Roman" w:hAnsi="Times New Roman"/>
          <w:b/>
          <w:i w:val="false"/>
          <w:color w:val="000000"/>
          <w:sz w:val="24"/>
        </w:rPr>
        <w:t xml:space="preserve">(19B) </w:t>
      </w:r>
      <w:r>
        <w:rPr>
          <w:rFonts w:ascii="Times New Roman" w:hAnsi="Times New Roman"/>
          <w:b/>
          <w:i w:val="false"/>
          <w:color w:val="000000"/>
          <w:sz w:val="24"/>
        </w:rPr>
        <w:t xml:space="preserve">Definitions. </w:t>
      </w:r>
      <w:r>
        <w:rPr>
          <w:rFonts w:ascii="Times New Roman" w:hAnsi="Times New Roman"/>
          <w:b w:val="false"/>
          <w:i w:val="false"/>
          <w:color w:val="000000"/>
          <w:sz w:val="24"/>
        </w:rPr>
        <w:t>The following definitions will be applied to the rules in this chapter:</w:t>
      </w:r>
    </w:p>
    <w:p>
      <w:pPr>
        <w:spacing w:before="0" w:after="0" w:line="480"/>
        <w:ind w:left="120"/>
        <w:jc w:val="both"/>
      </w:pPr>
      <w:r>
        <w:rPr>
          <w:rFonts w:ascii="Times New Roman" w:hAnsi="Times New Roman"/>
          <w:b w:val="false"/>
          <w:i/>
          <w:strike/>
          <w:color w:val="000000"/>
          <w:sz w:val="24"/>
        </w:rPr>
        <w:t>“Affirmative action”</w:t>
      </w:r>
      <w:r>
        <w:rPr>
          <w:rFonts w:ascii="Times New Roman" w:hAnsi="Times New Roman"/>
          <w:b w:val="false"/>
          <w:i w:val="false"/>
          <w:strike/>
          <w:color w:val="000000"/>
          <w:sz w:val="24"/>
        </w:rPr>
        <w:t> </w:t>
      </w:r>
      <w:r>
        <w:rPr>
          <w:rFonts w:ascii="Times New Roman" w:hAnsi="Times New Roman"/>
          <w:b w:val="false"/>
          <w:i w:val="false"/>
          <w:strike/>
          <w:color w:val="000000"/>
          <w:sz w:val="24"/>
        </w:rPr>
        <w:t>means action appropriate to overcome the effects of past or present practices, policies, or other barriers to equal employment opportunity.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“Agency”</w:t>
      </w:r>
      <w:r>
        <w:rPr>
          <w:rFonts w:ascii="Times New Roman" w:hAnsi="Times New Roman"/>
          <w:b w:val="false"/>
          <w:i w:val="false"/>
          <w:color w:val="000000"/>
          <w:sz w:val="24"/>
        </w:rPr>
        <w:t> </w:t>
      </w:r>
      <w:r>
        <w:rPr>
          <w:rFonts w:ascii="Times New Roman" w:hAnsi="Times New Roman"/>
          <w:b w:val="false"/>
          <w:i w:val="false"/>
          <w:color w:val="000000"/>
          <w:sz w:val="24"/>
        </w:rPr>
        <w:t>means a local school district, an area education agency or a community college.</w:t>
      </w:r>
    </w:p>
    <w:p>
      <w:pPr>
        <w:spacing w:before="0" w:after="0" w:line="480"/>
        <w:ind w:left="120"/>
        <w:jc w:val="both"/>
      </w:pPr>
      <w:r>
        <w:rPr>
          <w:rFonts w:ascii="Times New Roman" w:hAnsi="Times New Roman"/>
          <w:b w:val="false"/>
          <w:i/>
          <w:strike/>
          <w:color w:val="000000"/>
          <w:sz w:val="24"/>
        </w:rPr>
        <w:t>“Availability”</w:t>
      </w:r>
      <w:r>
        <w:rPr>
          <w:rFonts w:ascii="Times New Roman" w:hAnsi="Times New Roman"/>
          <w:b w:val="false"/>
          <w:i w:val="false"/>
          <w:strike/>
          <w:color w:val="000000"/>
          <w:sz w:val="24"/>
        </w:rPr>
        <w:t> </w:t>
      </w:r>
      <w:r>
        <w:rPr>
          <w:rFonts w:ascii="Times New Roman" w:hAnsi="Times New Roman"/>
          <w:b w:val="false"/>
          <w:i w:val="false"/>
          <w:strike/>
          <w:color w:val="000000"/>
          <w:sz w:val="24"/>
        </w:rPr>
        <w:t>means the extent to which members of a racial/ethnic group, women, men or persons with disabilities are present within the relevant labor market.</w:t>
      </w:r>
    </w:p>
    <w:p>
      <w:pPr>
        <w:spacing w:before="0" w:after="0" w:line="480"/>
        <w:ind w:left="120"/>
        <w:jc w:val="both"/>
      </w:pPr>
      <w:r>
        <w:rPr>
          <w:rFonts w:ascii="Times New Roman" w:hAnsi="Times New Roman"/>
          <w:b w:val="false"/>
          <w:i/>
          <w:strike/>
          <w:color w:val="000000"/>
          <w:sz w:val="24"/>
        </w:rPr>
        <w:t>“Department”</w:t>
      </w:r>
      <w:r>
        <w:rPr>
          <w:rFonts w:ascii="Times New Roman" w:hAnsi="Times New Roman"/>
          <w:b w:val="false"/>
          <w:i w:val="false"/>
          <w:strike/>
          <w:color w:val="000000"/>
          <w:sz w:val="24"/>
        </w:rPr>
        <w:t> </w:t>
      </w:r>
      <w:r>
        <w:rPr>
          <w:rFonts w:ascii="Times New Roman" w:hAnsi="Times New Roman"/>
          <w:b w:val="false"/>
          <w:i w:val="false"/>
          <w:strike/>
          <w:color w:val="000000"/>
          <w:sz w:val="24"/>
        </w:rPr>
        <w:t>means the Iowa department of education.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“Director of education”</w:t>
      </w:r>
      <w:r>
        <w:rPr>
          <w:rFonts w:ascii="Times New Roman" w:hAnsi="Times New Roman"/>
          <w:b w:val="false"/>
          <w:i w:val="false"/>
          <w:color w:val="000000"/>
          <w:sz w:val="24"/>
        </w:rPr>
        <w:t> </w:t>
      </w:r>
      <w:r>
        <w:rPr>
          <w:rFonts w:ascii="Times New Roman" w:hAnsi="Times New Roman"/>
          <w:b w:val="false"/>
          <w:i w:val="false"/>
          <w:color w:val="000000"/>
          <w:sz w:val="24"/>
        </w:rPr>
        <w:t>means the director of the Iowa department of education.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“Equal employment opportunity”</w:t>
      </w:r>
      <w:r>
        <w:rPr>
          <w:rFonts w:ascii="Times New Roman" w:hAnsi="Times New Roman"/>
          <w:b w:val="false"/>
          <w:i w:val="false"/>
          <w:color w:val="000000"/>
          <w:sz w:val="24"/>
        </w:rPr>
        <w:t> </w:t>
      </w:r>
      <w:r>
        <w:rPr>
          <w:rFonts w:ascii="Times New Roman" w:hAnsi="Times New Roman"/>
          <w:b w:val="false"/>
          <w:i w:val="false"/>
          <w:color w:val="000000"/>
          <w:sz w:val="24"/>
        </w:rPr>
        <w:t>means equal access to employment, training and advancement, or employment benefits regardless of race, creed, color, religion, sex, age, national origin and disability.</w:t>
      </w:r>
    </w:p>
    <w:p>
      <w:pPr>
        <w:spacing w:before="0" w:after="0" w:line="480"/>
        <w:ind w:left="120"/>
        <w:jc w:val="both"/>
      </w:pPr>
      <w:r>
        <w:rPr>
          <w:rFonts w:ascii="Times New Roman" w:hAnsi="Times New Roman"/>
          <w:b w:val="false"/>
          <w:i/>
          <w:strike/>
          <w:color w:val="000000"/>
          <w:sz w:val="24"/>
        </w:rPr>
        <w:t>“Metropolitan statistical area”</w:t>
      </w:r>
      <w:r>
        <w:rPr>
          <w:rFonts w:ascii="Times New Roman" w:hAnsi="Times New Roman"/>
          <w:b w:val="false"/>
          <w:i w:val="false"/>
          <w:strike/>
          <w:color w:val="000000"/>
          <w:sz w:val="24"/>
        </w:rPr>
        <w:t> </w:t>
      </w:r>
      <w:r>
        <w:rPr>
          <w:rFonts w:ascii="Times New Roman" w:hAnsi="Times New Roman"/>
          <w:b w:val="false"/>
          <w:i w:val="false"/>
          <w:strike/>
          <w:color w:val="000000"/>
          <w:sz w:val="24"/>
        </w:rPr>
        <w:t>means a large population nucleus (over 50,000 persons) and nearby communities which have a high degree of economic and social integration with that nucleus. Each area consists of one or more entire counties.</w:t>
      </w:r>
    </w:p>
    <w:p>
      <w:pPr>
        <w:spacing w:before="0" w:after="0" w:line="480"/>
        <w:ind w:left="120"/>
        <w:jc w:val="both"/>
      </w:pPr>
      <w:r>
        <w:rPr>
          <w:rFonts w:ascii="Times New Roman" w:hAnsi="Times New Roman"/>
          <w:b w:val="false"/>
          <w:i/>
          <w:strike/>
          <w:color w:val="000000"/>
          <w:sz w:val="24"/>
        </w:rPr>
        <w:t>“Person with a disability”</w:t>
      </w:r>
      <w:r>
        <w:rPr>
          <w:rFonts w:ascii="Times New Roman" w:hAnsi="Times New Roman"/>
          <w:b w:val="false"/>
          <w:i w:val="false"/>
          <w:strike/>
          <w:color w:val="000000"/>
          <w:sz w:val="24"/>
        </w:rPr>
        <w:t> </w:t>
      </w:r>
      <w:r>
        <w:rPr>
          <w:rFonts w:ascii="Times New Roman" w:hAnsi="Times New Roman"/>
          <w:b w:val="false"/>
          <w:i w:val="false"/>
          <w:strike/>
          <w:color w:val="000000"/>
          <w:sz w:val="24"/>
        </w:rPr>
        <w:t xml:space="preserve">means any person who has a physical or mental impairment that substantially limits one or more major life activities, has a record of such impairment or is regarded as having such an impairment, as defined in Iowa Code section </w:t>
      </w:r>
      <w:hyperlink r:id="rId7">
        <w:r>
          <w:rPr>
            <w:rStyle w:val="Hyperlink"/>
            <w:rFonts w:ascii="Times New Roman" w:hAnsi="Times New Roman"/>
            <w:b w:val="false"/>
            <w:i w:val="false"/>
            <w:strike/>
            <w:color w:val="000000"/>
            <w:sz w:val="24"/>
          </w:rPr>
          <w:t>216.2</w:t>
        </w:r>
      </w:hyperlink>
      <w:r>
        <w:rPr>
          <w:rFonts w:ascii="Times New Roman" w:hAnsi="Times New Roman"/>
          <w:b w:val="false"/>
          <w:i w:val="false"/>
          <w:strike/>
          <w:color w:val="000000"/>
          <w:sz w:val="24"/>
        </w:rPr>
        <w:t>.</w:t>
      </w:r>
    </w:p>
    <w:p>
      <w:pPr>
        <w:spacing w:before="0" w:after="0" w:line="480"/>
        <w:ind w:left="120"/>
        <w:jc w:val="both"/>
      </w:pPr>
      <w:r>
        <w:rPr>
          <w:rFonts w:ascii="Times New Roman" w:hAnsi="Times New Roman"/>
          <w:b w:val="false"/>
          <w:i/>
          <w:strike/>
          <w:color w:val="000000"/>
          <w:sz w:val="24"/>
        </w:rPr>
        <w:t>“Racial/ethnic minority person”</w:t>
      </w:r>
      <w:r>
        <w:rPr>
          <w:rFonts w:ascii="Times New Roman" w:hAnsi="Times New Roman"/>
          <w:b w:val="false"/>
          <w:i w:val="false"/>
          <w:strike/>
          <w:color w:val="000000"/>
          <w:sz w:val="24"/>
        </w:rPr>
        <w:t> </w:t>
      </w:r>
      <w:r>
        <w:rPr>
          <w:rFonts w:ascii="Times New Roman" w:hAnsi="Times New Roman"/>
          <w:b w:val="false"/>
          <w:i w:val="false"/>
          <w:strike/>
          <w:color w:val="000000"/>
          <w:sz w:val="24"/>
        </w:rPr>
        <w:t>means any person who is African American, Hispanic, Asian or Pacific Islander, American Indian or Alaskan Native.</w:t>
      </w:r>
    </w:p>
    <w:p>
      <w:pPr>
        <w:spacing w:before="0" w:after="0" w:line="480"/>
        <w:ind w:left="120"/>
        <w:jc w:val="both"/>
      </w:pPr>
      <w:r>
        <w:rPr>
          <w:rFonts w:ascii="Times New Roman" w:hAnsi="Times New Roman"/>
          <w:b w:val="false"/>
          <w:i/>
          <w:strike/>
          <w:color w:val="000000"/>
          <w:sz w:val="24"/>
        </w:rPr>
        <w:t>“Relevant labor market”</w:t>
      </w:r>
      <w:r>
        <w:rPr>
          <w:rFonts w:ascii="Times New Roman" w:hAnsi="Times New Roman"/>
          <w:b w:val="false"/>
          <w:i w:val="false"/>
          <w:strike/>
          <w:color w:val="000000"/>
          <w:sz w:val="24"/>
        </w:rPr>
        <w:t> </w:t>
      </w:r>
      <w:r>
        <w:rPr>
          <w:rFonts w:ascii="Times New Roman" w:hAnsi="Times New Roman"/>
          <w:b w:val="false"/>
          <w:i w:val="false"/>
          <w:strike/>
          <w:color w:val="000000"/>
          <w:sz w:val="24"/>
        </w:rPr>
        <w:t>means the geographic area in which an agency can reasonably be expected to recruit for a particular job category.</w:t>
      </w:r>
    </w:p>
    <w:p>
      <w:pPr>
        <w:spacing w:before="0" w:after="0" w:line="480"/>
        <w:ind w:left="120"/>
        <w:jc w:val="both"/>
      </w:pPr>
      <w:r>
        <w:rPr>
          <w:rFonts w:ascii="Times New Roman" w:hAnsi="Times New Roman"/>
          <w:b w:val="false"/>
          <w:i/>
          <w:strike/>
          <w:color w:val="000000"/>
          <w:sz w:val="24"/>
        </w:rPr>
        <w:t>“Underrepresentation”</w:t>
      </w:r>
      <w:r>
        <w:rPr>
          <w:rFonts w:ascii="Times New Roman" w:hAnsi="Times New Roman"/>
          <w:b w:val="false"/>
          <w:i w:val="false"/>
          <w:strike/>
          <w:color w:val="000000"/>
          <w:sz w:val="24"/>
        </w:rPr>
        <w:t> </w:t>
      </w:r>
      <w:r>
        <w:rPr>
          <w:rFonts w:ascii="Times New Roman" w:hAnsi="Times New Roman"/>
          <w:b w:val="false"/>
          <w:i w:val="false"/>
          <w:strike/>
          <w:color w:val="000000"/>
          <w:sz w:val="24"/>
        </w:rPr>
        <w:t>means having fewer members of a racial/ethnic group, women, men or persons with disabilities in a particular job category than would be reasonably expected based on their availability in the relevant labor market.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“Work force”</w:t>
      </w:r>
      <w:r>
        <w:rPr>
          <w:rFonts w:ascii="Times New Roman" w:hAnsi="Times New Roman"/>
          <w:b w:val="false"/>
          <w:i w:val="false"/>
          <w:color w:val="000000"/>
          <w:sz w:val="24"/>
        </w:rPr>
        <w:t> </w:t>
      </w:r>
      <w:r>
        <w:rPr>
          <w:rFonts w:ascii="Times New Roman" w:hAnsi="Times New Roman"/>
          <w:b w:val="false"/>
          <w:i w:val="false"/>
          <w:color w:val="000000"/>
          <w:sz w:val="24"/>
        </w:rPr>
        <w:t>means an agency’s full-time and part-time employees.</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281—95.2(19B)</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281—95.2</w:t>
      </w:r>
      <w:r>
        <w:rPr>
          <w:rFonts w:ascii="Times New Roman" w:hAnsi="Times New Roman"/>
          <w:b/>
          <w:i w:val="false"/>
          <w:color w:val="000000"/>
          <w:sz w:val="24"/>
        </w:rPr>
        <w:t xml:space="preserve">(19B) </w:t>
      </w:r>
      <w:r>
        <w:rPr>
          <w:rFonts w:ascii="Times New Roman" w:hAnsi="Times New Roman"/>
          <w:b/>
          <w:i w:val="false"/>
          <w:color w:val="000000"/>
          <w:sz w:val="24"/>
        </w:rPr>
        <w:t xml:space="preserve">Equal employment opportunity standards. </w:t>
      </w:r>
      <w:r>
        <w:rPr>
          <w:rFonts w:ascii="Times New Roman" w:hAnsi="Times New Roman"/>
          <w:b w:val="false"/>
          <w:i w:val="false"/>
          <w:color w:val="000000"/>
          <w:sz w:val="24"/>
        </w:rPr>
        <w:t xml:space="preserve">An agency’s employment policies and practices shall provide equal employment opportunity to all persons. No person may be denied equal access to agency employment opportunities because of race, creed, color, religion, national origin, </w:t>
      </w:r>
      <w:r>
        <w:rPr>
          <w:rFonts w:ascii="Times New Roman" w:hAnsi="Times New Roman"/>
          <w:b w:val="false"/>
          <w:i w:val="false"/>
          <w:strike/>
          <w:color w:val="000000"/>
          <w:sz w:val="24"/>
        </w:rPr>
        <w:t>gender</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sex</w:t>
      </w:r>
      <w:r>
        <w:rPr>
          <w:rFonts w:ascii="Times New Roman" w:hAnsi="Times New Roman"/>
          <w:b w:val="false"/>
          <w:i w:val="false"/>
          <w:color w:val="000000"/>
          <w:sz w:val="24"/>
        </w:rPr>
        <w:t>, age or disability.</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281—95.3(19B)</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281—95.3</w:t>
      </w:r>
      <w:r>
        <w:rPr>
          <w:rFonts w:ascii="Times New Roman" w:hAnsi="Times New Roman"/>
          <w:b/>
          <w:i w:val="false"/>
          <w:color w:val="000000"/>
          <w:sz w:val="24"/>
        </w:rPr>
        <w:t xml:space="preserve">(19B) </w:t>
      </w:r>
      <w:r>
        <w:rPr>
          <w:rFonts w:ascii="Times New Roman" w:hAnsi="Times New Roman"/>
          <w:b/>
          <w:i w:val="false"/>
          <w:color w:val="000000"/>
          <w:sz w:val="24"/>
        </w:rPr>
        <w:t xml:space="preserve">Duties of boards of directors. </w:t>
      </w:r>
      <w:r>
        <w:rPr>
          <w:rFonts w:ascii="Times New Roman" w:hAnsi="Times New Roman"/>
          <w:b w:val="false"/>
          <w:i w:val="false"/>
          <w:color w:val="000000"/>
          <w:sz w:val="24"/>
        </w:rPr>
        <w:t>Each agency’s board of directors will adopt</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w:t>
      </w:r>
      <w:r>
        <w:rPr>
          <w:rFonts w:ascii="Times New Roman" w:hAnsi="Times New Roman"/>
          <w:b w:val="false"/>
          <w:i w:val="false"/>
          <w:color w:val="000000"/>
          <w:sz w:val="24"/>
        </w:rPr>
        <w:t xml:space="preserve"> policy </w:t>
      </w:r>
      <w:r>
        <w:rPr>
          <w:rFonts w:ascii="Times New Roman" w:hAnsi="Times New Roman"/>
          <w:b w:val="false"/>
          <w:i w:val="false"/>
          <w:strike/>
          <w:color w:val="000000"/>
          <w:sz w:val="24"/>
        </w:rPr>
        <w:t>statements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statement</w:t>
      </w:r>
      <w:r>
        <w:rPr>
          <w:rFonts w:ascii="Times New Roman" w:hAnsi="Times New Roman"/>
          <w:b w:val="false"/>
          <w:i w:val="false"/>
          <w:color w:val="000000"/>
          <w:sz w:val="24"/>
        </w:rPr>
        <w:t xml:space="preserve"> and develop </w:t>
      </w:r>
      <w:r>
        <w:rPr>
          <w:rFonts w:ascii="Times New Roman" w:hAnsi="Times New Roman"/>
          <w:b w:val="false"/>
          <w:i w:val="false"/>
          <w:strike/>
          <w:color w:val="000000"/>
          <w:sz w:val="24"/>
        </w:rPr>
        <w:t>plans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 plan</w:t>
      </w:r>
      <w:r>
        <w:rPr>
          <w:rFonts w:ascii="Times New Roman" w:hAnsi="Times New Roman"/>
          <w:b w:val="false"/>
          <w:i w:val="false"/>
          <w:color w:val="000000"/>
          <w:sz w:val="24"/>
        </w:rPr>
        <w:t xml:space="preserve"> for implementation of equal employment opportunity standards </w:t>
      </w:r>
      <w:r>
        <w:rPr>
          <w:rFonts w:ascii="Times New Roman" w:hAnsi="Times New Roman"/>
          <w:b w:val="false"/>
          <w:i w:val="false"/>
          <w:strike/>
          <w:color w:val="000000"/>
          <w:sz w:val="24"/>
        </w:rPr>
        <w:t>and affirmative action programs</w:t>
      </w:r>
      <w:r>
        <w:rPr>
          <w:rFonts w:ascii="Times New Roman" w:hAnsi="Times New Roman"/>
          <w:b w:val="false"/>
          <w:i w:val="false"/>
          <w:color w:val="000000"/>
          <w:sz w:val="24"/>
        </w:rPr>
        <w:t>, which contain the following elements: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 policy statement outlining the board of directors’ commitment to the principles of equal employment opportunity </w:t>
      </w:r>
      <w:r>
        <w:rPr>
          <w:rFonts w:ascii="Times New Roman" w:hAnsi="Times New Roman"/>
          <w:b w:val="false"/>
          <w:i w:val="false"/>
          <w:strike/>
          <w:color w:val="000000"/>
          <w:sz w:val="24"/>
        </w:rPr>
        <w:t>and affirmative action</w:t>
      </w:r>
      <w:r>
        <w:rPr>
          <w:rFonts w:ascii="Times New Roman" w:hAnsi="Times New Roman"/>
          <w:b w:val="false"/>
          <w:i w:val="false"/>
          <w:color w:val="000000"/>
          <w:sz w:val="24"/>
        </w:rPr>
        <w:t xml:space="preserve">, which </w:t>
      </w:r>
      <w:r>
        <w:rPr>
          <w:rFonts w:ascii="Times New Roman" w:hAnsi="Times New Roman"/>
          <w:b w:val="false"/>
          <w:i w:val="false"/>
          <w:strike/>
          <w:color w:val="000000"/>
          <w:sz w:val="24"/>
        </w:rPr>
        <w:t>contain</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contains</w:t>
      </w:r>
      <w:r>
        <w:rPr>
          <w:rFonts w:ascii="Times New Roman" w:hAnsi="Times New Roman"/>
          <w:b w:val="false"/>
          <w:i w:val="false"/>
          <w:color w:val="000000"/>
          <w:sz w:val="24"/>
        </w:rPr>
        <w:t xml:space="preserve"> procedures for employees and applicants for employment to redress complaints of discrimination.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 written equal employment opportunity </w:t>
      </w:r>
      <w:r>
        <w:rPr>
          <w:rFonts w:ascii="Times New Roman" w:hAnsi="Times New Roman"/>
          <w:b w:val="false"/>
          <w:i w:val="false"/>
          <w:strike/>
          <w:color w:val="000000"/>
          <w:sz w:val="24"/>
        </w:rPr>
        <w:t>and affirmative action</w:t>
      </w:r>
      <w:r>
        <w:rPr>
          <w:rFonts w:ascii="Times New Roman" w:hAnsi="Times New Roman"/>
          <w:b w:val="false"/>
          <w:i w:val="false"/>
          <w:color w:val="000000"/>
          <w:sz w:val="24"/>
        </w:rPr>
        <w:t xml:space="preserve"> plan, to be evaluated and updated on a biennial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Assignment of responsibility to an employee for coordinating the development and ongoing implementation of the </w:t>
      </w:r>
      <w:r>
        <w:rPr>
          <w:rFonts w:ascii="Times New Roman" w:hAnsi="Times New Roman"/>
          <w:b w:val="false"/>
          <w:i w:val="false"/>
          <w:strike/>
          <w:color w:val="000000"/>
          <w:sz w:val="24"/>
        </w:rPr>
        <w:t>plans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plan</w:t>
      </w:r>
      <w:r>
        <w:rPr>
          <w:rFonts w:ascii="Times New Roman" w:hAnsi="Times New Roman"/>
          <w:b w:val="false"/>
          <w:i w:val="false"/>
          <w:color w:val="000000"/>
          <w:sz w:val="24"/>
        </w:rPr>
        <w:t>. This employee may be the same employee who has been assigned to coordinate the agency’s efforts to comply with federal laws requiring nondiscrimination in educational programs and 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Systematic input from diverse racial/ethnic groups, women, men and persons with disabilities into the development and implementation of the </w:t>
      </w:r>
      <w:r>
        <w:rPr>
          <w:rFonts w:ascii="Times New Roman" w:hAnsi="Times New Roman"/>
          <w:b w:val="false"/>
          <w:i w:val="false"/>
          <w:strike/>
          <w:color w:val="000000"/>
          <w:sz w:val="24"/>
        </w:rPr>
        <w:t>plans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plan</w:t>
      </w:r>
      <w:r>
        <w:rPr>
          <w:rFonts w:ascii="Times New Roman" w:hAnsi="Times New Roman"/>
          <w:b w:val="false"/>
          <w:i w:val="false"/>
          <w:color w:val="000000"/>
          <w:sz w:val="24"/>
        </w:rPr>
        <w:t>, which may include using existing advisory committees or public hearing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Periodic training for all staff who hire or supervise personnel on the principles of equal employment opportunity </w:t>
      </w:r>
      <w:r>
        <w:rPr>
          <w:rFonts w:ascii="Times New Roman" w:hAnsi="Times New Roman"/>
          <w:b w:val="false"/>
          <w:i w:val="false"/>
          <w:strike/>
          <w:color w:val="000000"/>
          <w:sz w:val="24"/>
        </w:rPr>
        <w:t>and the implementation of its affirmative action plan</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strike/>
          <w:color w:val="000000"/>
          <w:sz w:val="24"/>
        </w:rPr>
        <w:t>6.</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Maintenance of necessary records to document its affirmative action progress. An agency will report employment data to the department by racial/ethnic category, gender and disability.</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5.</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281—95.4(19B)</w:t>
      </w:r>
      <w:r>
        <w:rPr>
          <w:rFonts w:ascii="Times New Roman" w:hAnsi="Times New Roman"/>
          <w:b w:val="false"/>
          <w:i w:val="false"/>
          <w:color w:val="000000"/>
          <w:sz w:val="24"/>
        </w:rPr>
        <w:t>, introductory paragraph</w:t>
      </w:r>
      <w:r>
        <w:rPr>
          <w:rFonts w:ascii="Times New Roman" w:hAnsi="Times New Roman"/>
          <w:b w:val="false"/>
          <w:i w:val="false"/>
          <w:color w:val="000000"/>
          <w:sz w:val="24"/>
        </w:rPr>
        <w:t>, as follows:</w:t>
      </w:r>
    </w:p>
    <w:p>
      <w:pPr>
        <w:spacing w:before="210" w:after="0" w:line="480"/>
        <w:ind w:left="120"/>
        <w:jc w:val="both"/>
      </w:pPr>
      <w:r>
        <w:rPr>
          <w:rFonts w:ascii="Times New Roman" w:hAnsi="Times New Roman"/>
          <w:b/>
          <w:i w:val="false"/>
          <w:color w:val="000000"/>
          <w:sz w:val="24"/>
        </w:rPr>
        <w:t>281—95.4</w:t>
      </w:r>
      <w:r>
        <w:rPr>
          <w:rFonts w:ascii="Times New Roman" w:hAnsi="Times New Roman"/>
          <w:b/>
          <w:i w:val="false"/>
          <w:color w:val="000000"/>
          <w:sz w:val="24"/>
        </w:rPr>
        <w:t xml:space="preserve">(19B) </w:t>
      </w:r>
      <w:r>
        <w:rPr>
          <w:rFonts w:ascii="Times New Roman" w:hAnsi="Times New Roman"/>
          <w:b/>
          <w:i w:val="false"/>
          <w:color w:val="000000"/>
          <w:sz w:val="24"/>
        </w:rPr>
        <w:t xml:space="preserve">Plan components. </w:t>
      </w:r>
      <w:r>
        <w:rPr>
          <w:rFonts w:ascii="Times New Roman" w:hAnsi="Times New Roman"/>
          <w:b w:val="false"/>
          <w:i w:val="false"/>
          <w:color w:val="000000"/>
          <w:sz w:val="24"/>
        </w:rPr>
        <w:t xml:space="preserve">In addition to the board policy statement, each agency’s equal employment opportunity </w:t>
      </w:r>
      <w:r>
        <w:rPr>
          <w:rFonts w:ascii="Times New Roman" w:hAnsi="Times New Roman"/>
          <w:b w:val="false"/>
          <w:i w:val="false"/>
          <w:strike/>
          <w:color w:val="000000"/>
          <w:sz w:val="24"/>
        </w:rPr>
        <w:t>and affirmative action</w:t>
      </w:r>
      <w:r>
        <w:rPr>
          <w:rFonts w:ascii="Times New Roman" w:hAnsi="Times New Roman"/>
          <w:b w:val="false"/>
          <w:i w:val="false"/>
          <w:color w:val="000000"/>
          <w:sz w:val="24"/>
        </w:rPr>
        <w:t xml:space="preserve"> plan will include, at a minimum, the following components:</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6.</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95.4(1)</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95.4(1)</w:t>
      </w:r>
      <w:r>
        <w:rPr>
          <w:rFonts w:ascii="Times New Roman" w:hAnsi="Times New Roman"/>
          <w:b w:val="false"/>
          <w:i w:val="false"/>
          <w:color w:val="000000"/>
          <w:sz w:val="24"/>
        </w:rPr>
        <w:t> </w:t>
      </w:r>
      <w:r>
        <w:rPr>
          <w:rFonts w:ascii="Times New Roman" w:hAnsi="Times New Roman"/>
          <w:b w:val="false"/>
          <w:i/>
          <w:color w:val="000000"/>
          <w:sz w:val="24"/>
        </w:rPr>
        <w:t xml:space="preserve">General.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name, job title, address and phone number of the employee responsible for coordinating the development and implementation of the equal employment opportunity </w:t>
      </w:r>
      <w:r>
        <w:rPr>
          <w:rFonts w:ascii="Times New Roman" w:hAnsi="Times New Roman"/>
          <w:b w:val="false"/>
          <w:i w:val="false"/>
          <w:strike/>
          <w:color w:val="000000"/>
          <w:sz w:val="24"/>
        </w:rPr>
        <w:t>and affirmative action plans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plan</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An administrative statement on how the agency’s equal employment opportunity </w:t>
      </w:r>
      <w:r>
        <w:rPr>
          <w:rFonts w:ascii="Times New Roman" w:hAnsi="Times New Roman"/>
          <w:b w:val="false"/>
          <w:i w:val="false"/>
          <w:strike/>
          <w:color w:val="000000"/>
          <w:sz w:val="24"/>
        </w:rPr>
        <w:t>and affirmative action policies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policy</w:t>
      </w:r>
      <w:r>
        <w:rPr>
          <w:rFonts w:ascii="Times New Roman" w:hAnsi="Times New Roman"/>
          <w:b w:val="false"/>
          <w:i w:val="false"/>
          <w:color w:val="000000"/>
          <w:sz w:val="24"/>
        </w:rPr>
        <w:t xml:space="preserve"> and </w:t>
      </w:r>
      <w:r>
        <w:rPr>
          <w:rFonts w:ascii="Times New Roman" w:hAnsi="Times New Roman"/>
          <w:b w:val="false"/>
          <w:i w:val="false"/>
          <w:strike/>
          <w:color w:val="000000"/>
          <w:sz w:val="24"/>
        </w:rPr>
        <w:t>plans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plan</w:t>
      </w:r>
      <w:r>
        <w:rPr>
          <w:rFonts w:ascii="Times New Roman" w:hAnsi="Times New Roman"/>
          <w:b w:val="false"/>
          <w:i w:val="false"/>
          <w:color w:val="000000"/>
          <w:sz w:val="24"/>
        </w:rPr>
        <w:t xml:space="preserve"> are to be implemented, including the internal system for auditing and reporting progress, to be signed and dated by the chief executive officer of the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work force analysis showing the numerical and percentage breakdown of the agency’s full-time and part-time employees within each major job category (consistent with the E.E.O. 5 and E.E.O. 6 occupational categories reported to the United States Equal Employment Opportunity Commission) by racial/ethnic group</w:t>
      </w:r>
      <w:r>
        <w:rPr>
          <w:rFonts w:ascii="Times New Roman" w:hAnsi="Times New Roman"/>
          <w:b w:val="false"/>
          <w:i w:val="false"/>
          <w:strike/>
          <w:color w:val="000000"/>
          <w:sz w:val="24"/>
        </w:rPr>
        <w:t>, gender,</w:t>
      </w:r>
      <w:r>
        <w:rPr>
          <w:rFonts w:ascii="Times New Roman" w:hAnsi="Times New Roman"/>
          <w:b w:val="false"/>
          <w:i w:val="false"/>
          <w:color w:val="000000"/>
          <w:sz w:val="24"/>
        </w:rPr>
        <w:t xml:space="preserve"> and disability. For the purpose of confidentiality, disability data may be based on total agency figures, rather than those of major job categories.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strike/>
          <w:color w:val="000000"/>
          <w:sz w:val="24"/>
        </w:rPr>
        <w:t>d.</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A quantitative analysis comparing work force analysis figures with the availability of qualified or qualifiable members of racial/ethnic groups, women, men and persons with disabilities within the relevant labor market.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strike/>
          <w:color w:val="000000"/>
          <w:sz w:val="24"/>
        </w:rPr>
        <w:t>e.</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When underrepresentation is identified in one or more major job category, the agency will conduct a qualitative analysis to be included in the agency’s affirmative action plan. The qualitative analysis is a review of employment policies and practices to determine if and where those policies and practices tend to exclude, disadvantage, restrict or result in adverse impact on the basis of racial/ethnic origin, gender, or disability. The analysis may include, but is not limited to the review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strike/>
          <w:color w:val="000000"/>
          <w:sz w:val="24"/>
        </w:rPr>
        <w:t>(1)</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Recruitment practices and policies;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strike/>
          <w:color w:val="000000"/>
          <w:sz w:val="24"/>
        </w:rPr>
        <w:t>(2)</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A demographic study of the applicant pool and flow;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strike/>
          <w:color w:val="000000"/>
          <w:sz w:val="24"/>
        </w:rPr>
        <w:t>(3)</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The rate and composition of turnover in major job categories;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strike/>
          <w:color w:val="000000"/>
          <w:sz w:val="24"/>
        </w:rPr>
        <w:t>(4)</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Trends in enrollment that will affect the size of the work force;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strike/>
          <w:color w:val="000000"/>
          <w:sz w:val="24"/>
        </w:rPr>
        <w:t>(5)</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Application and application screening policies and practices;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strike/>
          <w:color w:val="000000"/>
          <w:sz w:val="24"/>
        </w:rPr>
        <w:t>(6)</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Interview, selection, and placement policies and practices;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strike/>
          <w:color w:val="000000"/>
          <w:sz w:val="24"/>
        </w:rPr>
        <w:t>(7)</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Transfer and promotion policies and practices;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strike/>
          <w:color w:val="000000"/>
          <w:sz w:val="24"/>
        </w:rPr>
        <w:t>(8)</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Discipline, demotion, termination, and reduction in force policies and practices;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strike/>
          <w:color w:val="000000"/>
          <w:sz w:val="24"/>
        </w:rPr>
        <w:t>(9)</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Employee assistance, training selection, and mentoring policies and practices;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strike/>
          <w:color w:val="000000"/>
          <w:sz w:val="24"/>
        </w:rPr>
        <w:t>(10)</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The impact of any collective bargaining agreement on equal employment opportunity and the affirmative action process;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strike/>
          <w:color w:val="000000"/>
          <w:sz w:val="24"/>
        </w:rPr>
        <w:t>(11)</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Law, policies or practices external to the agency that may hinder success in equal employment opportunity and affirmative action.</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7.</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subrules </w:t>
      </w:r>
      <w:r>
        <w:rPr>
          <w:rFonts w:ascii="Times New Roman" w:hAnsi="Times New Roman"/>
          <w:b/>
          <w:i w:val="false"/>
          <w:color w:val="000000"/>
          <w:sz w:val="24"/>
        </w:rPr>
        <w:t>95.4(2)</w:t>
      </w:r>
      <w:r>
        <w:rPr>
          <w:rFonts w:ascii="Times New Roman" w:hAnsi="Times New Roman"/>
          <w:b w:val="false"/>
          <w:i w:val="false"/>
          <w:color w:val="000000"/>
          <w:sz w:val="24"/>
        </w:rPr>
        <w:t xml:space="preserve"> to </w:t>
      </w:r>
      <w:r>
        <w:rPr>
          <w:rFonts w:ascii="Times New Roman" w:hAnsi="Times New Roman"/>
          <w:b/>
          <w:i w:val="false"/>
          <w:color w:val="000000"/>
          <w:sz w:val="24"/>
        </w:rPr>
        <w:t>95.4(4)</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8.</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281—95.5(19B)</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281—95.5</w:t>
      </w:r>
      <w:r>
        <w:rPr>
          <w:rFonts w:ascii="Times New Roman" w:hAnsi="Times New Roman"/>
          <w:b/>
          <w:i w:val="false"/>
          <w:color w:val="000000"/>
          <w:sz w:val="24"/>
        </w:rPr>
        <w:t xml:space="preserve">(19B) </w:t>
      </w:r>
      <w:r>
        <w:rPr>
          <w:rFonts w:ascii="Times New Roman" w:hAnsi="Times New Roman"/>
          <w:b/>
          <w:i w:val="false"/>
          <w:color w:val="000000"/>
          <w:sz w:val="24"/>
        </w:rPr>
        <w:t xml:space="preserve">Dissemination. </w:t>
      </w:r>
      <w:r>
        <w:rPr>
          <w:rFonts w:ascii="Times New Roman" w:hAnsi="Times New Roman"/>
          <w:b w:val="false"/>
          <w:i w:val="false"/>
          <w:color w:val="000000"/>
          <w:sz w:val="24"/>
        </w:rPr>
        <w:t xml:space="preserve">Each agency will adopt an internal and external system for disseminating its equal employment opportunity </w:t>
      </w:r>
      <w:r>
        <w:rPr>
          <w:rFonts w:ascii="Times New Roman" w:hAnsi="Times New Roman"/>
          <w:b w:val="false"/>
          <w:i w:val="false"/>
          <w:strike/>
          <w:color w:val="000000"/>
          <w:sz w:val="24"/>
        </w:rPr>
        <w:t>and affirmative action policies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policy</w:t>
      </w:r>
      <w:r>
        <w:rPr>
          <w:rFonts w:ascii="Times New Roman" w:hAnsi="Times New Roman"/>
          <w:b w:val="false"/>
          <w:i w:val="false"/>
          <w:color w:val="000000"/>
          <w:sz w:val="24"/>
        </w:rPr>
        <w:t xml:space="preserve"> and </w:t>
      </w:r>
      <w:r>
        <w:rPr>
          <w:rFonts w:ascii="Times New Roman" w:hAnsi="Times New Roman"/>
          <w:b w:val="false"/>
          <w:i w:val="false"/>
          <w:strike/>
          <w:color w:val="000000"/>
          <w:sz w:val="24"/>
        </w:rPr>
        <w:t>plans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plan</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95.5(1)</w:t>
      </w:r>
      <w:r>
        <w:rPr>
          <w:rFonts w:ascii="Times New Roman" w:hAnsi="Times New Roman"/>
          <w:b w:val="false"/>
          <w:i w:val="false"/>
          <w:color w:val="000000"/>
          <w:sz w:val="24"/>
        </w:rPr>
        <w:t> </w:t>
      </w:r>
      <w:r>
        <w:rPr>
          <w:rFonts w:ascii="Times New Roman" w:hAnsi="Times New Roman"/>
          <w:b w:val="false"/>
          <w:i/>
          <w:color w:val="000000"/>
          <w:sz w:val="24"/>
        </w:rPr>
        <w:t xml:space="preserve">Plan distribution. </w:t>
      </w:r>
      <w:r>
        <w:rPr>
          <w:rFonts w:ascii="Times New Roman" w:hAnsi="Times New Roman"/>
          <w:b w:val="false"/>
          <w:i w:val="false"/>
          <w:color w:val="000000"/>
          <w:sz w:val="24"/>
        </w:rPr>
        <w:t xml:space="preserve">An agency will annually distribute its </w:t>
      </w:r>
      <w:r>
        <w:rPr>
          <w:rFonts w:ascii="Times New Roman" w:hAnsi="Times New Roman"/>
          <w:b w:val="false"/>
          <w:i w:val="false"/>
          <w:strike/>
          <w:color w:val="000000"/>
          <w:sz w:val="24"/>
        </w:rPr>
        <w:t>policies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policy</w:t>
      </w:r>
      <w:r>
        <w:rPr>
          <w:rFonts w:ascii="Times New Roman" w:hAnsi="Times New Roman"/>
          <w:b w:val="false"/>
          <w:i w:val="false"/>
          <w:color w:val="000000"/>
          <w:sz w:val="24"/>
        </w:rPr>
        <w:t xml:space="preserve"> and </w:t>
      </w:r>
      <w:r>
        <w:rPr>
          <w:rFonts w:ascii="Times New Roman" w:hAnsi="Times New Roman"/>
          <w:b w:val="false"/>
          <w:i w:val="false"/>
          <w:strike/>
          <w:color w:val="000000"/>
          <w:sz w:val="24"/>
        </w:rPr>
        <w:t>plans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plan</w:t>
      </w:r>
      <w:r>
        <w:rPr>
          <w:rFonts w:ascii="Times New Roman" w:hAnsi="Times New Roman"/>
          <w:b w:val="false"/>
          <w:i w:val="false"/>
          <w:color w:val="000000"/>
          <w:sz w:val="24"/>
        </w:rPr>
        <w:t xml:space="preserve"> to agency employees involved in the hiring or management of personnel, and the agency will make the </w:t>
      </w:r>
      <w:r>
        <w:rPr>
          <w:rFonts w:ascii="Times New Roman" w:hAnsi="Times New Roman"/>
          <w:b w:val="false"/>
          <w:i w:val="false"/>
          <w:strike/>
          <w:color w:val="000000"/>
          <w:sz w:val="24"/>
        </w:rPr>
        <w:t>policies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policy</w:t>
      </w:r>
      <w:r>
        <w:rPr>
          <w:rFonts w:ascii="Times New Roman" w:hAnsi="Times New Roman"/>
          <w:b w:val="false"/>
          <w:i w:val="false"/>
          <w:color w:val="000000"/>
          <w:sz w:val="24"/>
        </w:rPr>
        <w:t xml:space="preserve"> and </w:t>
      </w:r>
      <w:r>
        <w:rPr>
          <w:rFonts w:ascii="Times New Roman" w:hAnsi="Times New Roman"/>
          <w:b w:val="false"/>
          <w:i w:val="false"/>
          <w:strike/>
          <w:color w:val="000000"/>
          <w:sz w:val="24"/>
        </w:rPr>
        <w:t>plans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plan</w:t>
      </w:r>
      <w:r>
        <w:rPr>
          <w:rFonts w:ascii="Times New Roman" w:hAnsi="Times New Roman"/>
          <w:b w:val="false"/>
          <w:i w:val="false"/>
          <w:color w:val="000000"/>
          <w:sz w:val="24"/>
        </w:rPr>
        <w:t xml:space="preserve"> available to other agency employees, the public and the director of education upon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95.5(2)</w:t>
      </w:r>
      <w:r>
        <w:rPr>
          <w:rFonts w:ascii="Times New Roman" w:hAnsi="Times New Roman"/>
          <w:b w:val="false"/>
          <w:i w:val="false"/>
          <w:color w:val="000000"/>
          <w:sz w:val="24"/>
        </w:rPr>
        <w:t xml:space="preserve"> No change.</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9.</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281—95.6(19B)</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281—95.6</w:t>
      </w:r>
      <w:r>
        <w:rPr>
          <w:rFonts w:ascii="Times New Roman" w:hAnsi="Times New Roman"/>
          <w:b/>
          <w:i w:val="false"/>
          <w:color w:val="000000"/>
          <w:sz w:val="24"/>
        </w:rPr>
        <w:t xml:space="preserve">(19B) </w:t>
      </w:r>
      <w:r>
        <w:rPr>
          <w:rFonts w:ascii="Times New Roman" w:hAnsi="Times New Roman"/>
          <w:b/>
          <w:i w:val="false"/>
          <w:color w:val="000000"/>
          <w:sz w:val="24"/>
        </w:rPr>
        <w:t xml:space="preserve">Reports. </w:t>
      </w:r>
      <w:r>
        <w:rPr>
          <w:rFonts w:ascii="Times New Roman" w:hAnsi="Times New Roman"/>
          <w:b w:val="false"/>
          <w:i w:val="false"/>
          <w:color w:val="000000"/>
          <w:sz w:val="24"/>
        </w:rPr>
        <w:t xml:space="preserve">Each agency will submit an annual progress report on equal employment opportunity </w:t>
      </w:r>
      <w:r>
        <w:rPr>
          <w:rFonts w:ascii="Times New Roman" w:hAnsi="Times New Roman"/>
          <w:b w:val="false"/>
          <w:i w:val="false"/>
          <w:strike/>
          <w:color w:val="000000"/>
          <w:sz w:val="24"/>
        </w:rPr>
        <w:t>and affirmative action</w:t>
      </w:r>
      <w:r>
        <w:rPr>
          <w:rFonts w:ascii="Times New Roman" w:hAnsi="Times New Roman"/>
          <w:b w:val="false"/>
          <w:i w:val="false"/>
          <w:color w:val="000000"/>
          <w:sz w:val="24"/>
        </w:rPr>
        <w:t xml:space="preserve"> to its local board of directors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and the director of education upon request</w:t>
      </w:r>
      <w:r>
        <w:rPr>
          <w:rFonts w:ascii="Times New Roman" w:hAnsi="Times New Roman"/>
          <w:b w:val="false"/>
          <w:i w:val="false"/>
          <w:color w:val="000000"/>
          <w:sz w:val="24"/>
        </w:rPr>
        <w:t xml:space="preserve">. </w:t>
      </w:r>
      <w:r>
        <w:rPr>
          <w:rFonts w:ascii="Times New Roman" w:hAnsi="Times New Roman"/>
          <w:b w:val="false"/>
          <w:i w:val="false"/>
          <w:strike/>
          <w:color w:val="000000"/>
          <w:sz w:val="24"/>
        </w:rPr>
        <w:t>Each agency will submit its annual progress report under this chapter to the department by December 31 of each year. The report is a part of the basic educational data collection system administered by the department.</w:t>
      </w:r>
    </w:p>
    <w:p>
      <w:pPr>
        <w:spacing w:before="0" w:after="0" w:line="240"/>
        <w:ind w:left="120"/>
        <w:jc w:val="both"/>
      </w:pPr>
    </w:p>
    <w:p>
      <w:pPr>
        <w:spacing w:before="0" w:after="0" w:line="480"/>
        <w:ind w:left="120"/>
        <w:jc w:val="left"/>
      </w:pPr>
      <w:bookmarkStart w:name="lastARC" w:id="2"/>
      <w:bookmarkEnd w:id="2"/>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thomas.mayes@iowa.gov" Type="http://schemas.openxmlformats.org/officeDocument/2006/relationships/hyperlink" Id="rId4"/>
    <Relationship TargetMode="External" Target="http://meet.google.com/sib-mznu-iuf" Type="http://schemas.openxmlformats.org/officeDocument/2006/relationships/hyperlink" Id="rId5"/>
    <Relationship TargetMode="External" Target="https://www.legis.iowa.gov/committees/meetings/meetingsListComm?groupID=705&amp;ga=91" Type="http://schemas.openxmlformats.org/officeDocument/2006/relationships/hyperlink" Id="rId6"/>
    <Relationship TargetMode="External" Target="https://www.legis.iowa.gov/docs/ico/chapter/216.2.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