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46D" w:id="1"/>
    <w:p>
      <w:pPr>
        <w:spacing w:before="0" w:after="0" w:line="480"/>
        <w:ind w:left="120"/>
        <w:jc w:val="right"/>
      </w:pPr>
      <w:r>
        <w:rPr>
          <w:rFonts w:ascii="Times New Roman" w:hAnsi="Times New Roman"/>
          <w:b/>
          <w:i w:val="false"/>
          <w:color w:val="000000"/>
          <w:sz w:val="28"/>
        </w:rPr>
        <w:t>ARC 0646D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devices and methods to test body fluids </w:t>
      </w:r>
      <w:r>
        <w:br/>
      </w:r>
      <w:r>
        <w:rPr>
          <w:rFonts w:ascii="Times New Roman" w:hAnsi="Times New Roman"/>
          <w:b/>
          <w:i w:val="false"/>
          <w:color w:val="000000"/>
          <w:sz w:val="24"/>
        </w:rPr>
        <w:t>for alcohol or drugs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Public Safety Department hereby proposes to rescind Chapter 157, “Devices and Methods to Test Body Fluids for Alcohol or Drugs,” Iowa Administrative Code, and to adopt a new Chapter 157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321J.2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321J and section 123.46.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157 and adopt a new chapter in lieu thereof. The purpose of proposed Chapter 157 is to outline the approved devices and methods to take a specimen of a person’s breath or urine for the purpose of determining the alcohol or drug concentration.</w:t>
      </w:r>
    </w:p>
    <w:p>
      <w:pPr>
        <w:spacing w:before="0" w:after="0" w:line="480"/>
        <w:ind w:left="120"/>
        <w:jc w:val="both"/>
      </w:pPr>
      <w:r>
        <w:rPr>
          <w:rFonts w:ascii="Times New Roman" w:hAnsi="Times New Roman"/>
          <w:b w:val="false"/>
          <w:i w:val="false"/>
          <w:color w:val="000000"/>
          <w:sz w:val="24"/>
        </w:rPr>
        <w:t>    Additionally, one change from the existing chapter was made in subrule 157.7(1) to clarify that the levels used in the table are for drugs detected within the urine only and not blood.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spacing w:before="0" w:after="0" w:line="480"/>
        <w:ind w:left="120"/>
        <w:jc w:val="both"/>
      </w:pPr>
      <w:r>
        <w:rPr>
          <w:rFonts w:ascii="Times New Roman" w:hAnsi="Times New Roman"/>
          <w:b w:val="false"/>
          <w:i w:val="false"/>
          <w:color w:val="000000"/>
          <w:sz w:val="24"/>
        </w:rPr>
        <w:t>    No public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3 to 3:30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4, 2026</w:t>
            </w:r>
            <w:r>
              <w:br/>
            </w:r>
            <w:r>
              <w:rPr>
                <w:rFonts w:ascii="Times New Roman" w:hAnsi="Times New Roman"/>
                <w:b w:val="false"/>
                <w:i w:val="false"/>
                <w:color w:val="000000"/>
                <w:sz w:val="14"/>
              </w:rPr>
              <w:t xml:space="preserve"> 12 noon to 12:30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157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157</w:t>
      </w:r>
    </w:p>
    <w:p>
      <w:pPr>
        <w:spacing w:before="0" w:after="0" w:line="480"/>
        <w:ind w:left="120"/>
        <w:jc w:val="center"/>
      </w:pPr>
      <w:r>
        <w:rPr>
          <w:rFonts w:ascii="Times New Roman" w:hAnsi="Times New Roman"/>
          <w:b w:val="false"/>
          <w:i w:val="false"/>
          <w:color w:val="000000"/>
          <w:sz w:val="21"/>
        </w:rPr>
        <w:t>DEVICES AND METHODS TO TEST BODY FLUIDS FOR ALCOHOL OR DRUGS</w:t>
      </w:r>
    </w:p>
    <w:p>
      <w:pPr>
        <w:spacing w:before="210" w:after="0" w:line="480"/>
        <w:ind w:left="120"/>
        <w:jc w:val="both"/>
      </w:pPr>
      <w:r>
        <w:rPr>
          <w:rFonts w:ascii="Times New Roman" w:hAnsi="Times New Roman"/>
          <w:b/>
          <w:i w:val="false"/>
          <w:color w:val="000000"/>
          <w:sz w:val="24"/>
        </w:rPr>
        <w:t>661—157.1</w:t>
      </w:r>
      <w:r>
        <w:rPr>
          <w:rFonts w:ascii="Times New Roman" w:hAnsi="Times New Roman"/>
          <w:b/>
          <w:i w:val="false"/>
          <w:color w:val="000000"/>
          <w:sz w:val="24"/>
        </w:rPr>
        <w:t xml:space="preserve">(321J) </w:t>
      </w:r>
      <w:r>
        <w:rPr>
          <w:rFonts w:ascii="Times New Roman" w:hAnsi="Times New Roman"/>
          <w:b/>
          <w:i w:val="false"/>
          <w:color w:val="000000"/>
          <w:sz w:val="24"/>
        </w:rPr>
        <w:t xml:space="preserve">Approval of devices and methods to test for alcohol or drug concentration. </w:t>
      </w:r>
      <w:r>
        <w:rPr>
          <w:rFonts w:ascii="Times New Roman" w:hAnsi="Times New Roman"/>
          <w:b w:val="false"/>
          <w:i w:val="false"/>
          <w:color w:val="000000"/>
          <w:sz w:val="24"/>
        </w:rPr>
        <w:t>The commissioner, by these rules, approves the following devices and methods to take a specimen of a person’s breath or urine for the purpose of determining the alcohol or drug concentration.</w:t>
      </w:r>
    </w:p>
    <w:p>
      <w:pPr>
        <w:spacing w:before="0" w:after="0" w:line="480"/>
        <w:ind w:left="120"/>
        <w:jc w:val="both"/>
      </w:pPr>
      <w:r>
        <w:rPr>
          <w:rFonts w:ascii="Times New Roman" w:hAnsi="Times New Roman"/>
          <w:b/>
          <w:i w:val="false"/>
          <w:color w:val="000000"/>
          <w:sz w:val="24"/>
        </w:rPr>
        <w:t>661—157.2</w:t>
      </w:r>
      <w:r>
        <w:rPr>
          <w:rFonts w:ascii="Times New Roman" w:hAnsi="Times New Roman"/>
          <w:b/>
          <w:i w:val="false"/>
          <w:color w:val="000000"/>
          <w:sz w:val="24"/>
        </w:rPr>
        <w:t xml:space="preserve">(321J) </w:t>
      </w:r>
      <w:r>
        <w:rPr>
          <w:rFonts w:ascii="Times New Roman" w:hAnsi="Times New Roman"/>
          <w:b/>
          <w:i w:val="false"/>
          <w:color w:val="000000"/>
          <w:sz w:val="24"/>
        </w:rPr>
        <w:t xml:space="preserve">Evidentiary breath 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157.2(1)</w:t>
      </w:r>
      <w:r>
        <w:rPr>
          <w:rFonts w:ascii="Times New Roman" w:hAnsi="Times New Roman"/>
          <w:b w:val="false"/>
          <w:i w:val="false"/>
          <w:color w:val="000000"/>
          <w:sz w:val="24"/>
        </w:rPr>
        <w:t> </w:t>
      </w:r>
      <w:r>
        <w:rPr>
          <w:rFonts w:ascii="Times New Roman" w:hAnsi="Times New Roman"/>
          <w:b w:val="false"/>
          <w:i w:val="false"/>
          <w:color w:val="000000"/>
          <w:sz w:val="24"/>
        </w:rPr>
        <w:t>A breath testing device is a device designed and constructed to measure a subject’s breath alcohol concentration by utilizing a sample of the subject’s breath.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157.2(2)</w:t>
      </w:r>
      <w:r>
        <w:rPr>
          <w:rFonts w:ascii="Times New Roman" w:hAnsi="Times New Roman"/>
          <w:b w:val="false"/>
          <w:i w:val="false"/>
          <w:color w:val="000000"/>
          <w:sz w:val="24"/>
        </w:rPr>
        <w:t> </w:t>
      </w:r>
      <w:r>
        <w:rPr>
          <w:rFonts w:ascii="Times New Roman" w:hAnsi="Times New Roman"/>
          <w:b w:val="false"/>
          <w:i w:val="false"/>
          <w:color w:val="000000"/>
          <w:sz w:val="24"/>
        </w:rPr>
        <w:t>A peace officer desiring to perform testing of a subject’s breath for the purpose of determining the alcohol concentration shall employ, or cause to be used, a breath testing device of a type meeting the minimum performance requirements established in Highway Safety Programs; Model Specifications for Devices to Measure Breath Alcohol, Federal Register, Volume 58, No. 179 (September 17, 1993), pp. 48705-48708. All devices so used must be certified to be in proper working order at least once per calendar year according to procedures specified for that device. The interval between certifications shall not be more than 450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157.2(3)</w:t>
      </w:r>
      <w:r>
        <w:rPr>
          <w:rFonts w:ascii="Times New Roman" w:hAnsi="Times New Roman"/>
          <w:b w:val="false"/>
          <w:i w:val="false"/>
          <w:color w:val="000000"/>
          <w:sz w:val="24"/>
        </w:rPr>
        <w:t> </w:t>
      </w:r>
      <w:r>
        <w:rPr>
          <w:rFonts w:ascii="Times New Roman" w:hAnsi="Times New Roman"/>
          <w:b w:val="false"/>
          <w:i w:val="false"/>
          <w:color w:val="000000"/>
          <w:sz w:val="24"/>
        </w:rPr>
        <w:t>The division of criminal investigation criminalistics laboratory shall maintain a list of devices approved by the commissioner of public safety for collection of breath samples for evidentiary purposes. The current list shall be available upon request to the Division of Criminal Investigation Criminalistics Laboratory at 2240 South Ankeny Boulevard, Ankeny, Iowa 50023, or on the website of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157.2(4)</w:t>
      </w:r>
      <w:r>
        <w:rPr>
          <w:rFonts w:ascii="Times New Roman" w:hAnsi="Times New Roman"/>
          <w:b w:val="false"/>
          <w:i w:val="false"/>
          <w:color w:val="000000"/>
          <w:sz w:val="24"/>
        </w:rPr>
        <w:t> </w:t>
      </w:r>
      <w:r>
        <w:rPr>
          <w:rFonts w:ascii="Times New Roman" w:hAnsi="Times New Roman"/>
          <w:b w:val="false"/>
          <w:i w:val="false"/>
          <w:color w:val="000000"/>
          <w:sz w:val="24"/>
        </w:rPr>
        <w:t>The operator of an evidentiary breath testing device shall have been certified as competent in the operation of the breath testing device and shall proceed in accordance with the instructions included in an operating manual furnished by the division of criminal investigation criminalistics laboratory. An operating manual, with number and date, specific to a particular approved device and prepared by the division of criminal investigation criminalistics laboratory shall be available to operators using the device. The current version of the operating manual for each device currently approved for use in Iowa may be obtained by contacting the Division of Criminal Investigation Criminalistics Laboratory at 2240 South Ankeny Boulevard, Ankeny, Iowa 50023, or from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157.2(5)</w:t>
      </w:r>
      <w:r>
        <w:rPr>
          <w:rFonts w:ascii="Times New Roman" w:hAnsi="Times New Roman"/>
          <w:b w:val="false"/>
          <w:i w:val="false"/>
          <w:color w:val="000000"/>
          <w:sz w:val="24"/>
        </w:rPr>
        <w:t> </w:t>
      </w:r>
      <w:r>
        <w:rPr>
          <w:rFonts w:ascii="Times New Roman" w:hAnsi="Times New Roman"/>
          <w:b w:val="false"/>
          <w:i w:val="false"/>
          <w:color w:val="000000"/>
          <w:sz w:val="24"/>
        </w:rPr>
        <w:t>All certifications of evidentiary breath testing devices shall be made by the division of criminal investigation criminalistics laboratory. All certifications of operators shall be made by the division of criminal investigation criminalistics laboratory or a designee. A designee shall be a person trained and certified by the division of criminal investigation criminalistics laboratory.</w:t>
      </w:r>
    </w:p>
    <w:p>
      <w:pPr>
        <w:spacing w:before="0" w:after="0" w:line="480"/>
        <w:ind w:left="120"/>
        <w:jc w:val="both"/>
      </w:pPr>
      <w:r>
        <w:rPr>
          <w:rFonts w:ascii="Times New Roman" w:hAnsi="Times New Roman"/>
          <w:b/>
          <w:i w:val="false"/>
          <w:color w:val="000000"/>
          <w:sz w:val="24"/>
        </w:rPr>
        <w:t>661—157.3</w:t>
      </w:r>
      <w:r>
        <w:rPr>
          <w:rFonts w:ascii="Times New Roman" w:hAnsi="Times New Roman"/>
          <w:b/>
          <w:i w:val="false"/>
          <w:color w:val="000000"/>
          <w:sz w:val="24"/>
        </w:rPr>
        <w:t xml:space="preserve">(321J) </w:t>
      </w:r>
      <w:r>
        <w:rPr>
          <w:rFonts w:ascii="Times New Roman" w:hAnsi="Times New Roman"/>
          <w:b/>
          <w:i w:val="false"/>
          <w:color w:val="000000"/>
          <w:sz w:val="24"/>
        </w:rPr>
        <w:t xml:space="preserve">Urine collection. </w:t>
      </w:r>
      <w:r>
        <w:rPr>
          <w:rFonts w:ascii="Times New Roman" w:hAnsi="Times New Roman"/>
          <w:b w:val="false"/>
          <w:i w:val="false"/>
          <w:color w:val="000000"/>
          <w:sz w:val="24"/>
        </w:rPr>
        <w:t>A peace officer who collects a sample of a subject’s urine for the purpose of determining alcohol or drug concentration shall proceed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157.3(1)</w:t>
      </w:r>
      <w:r>
        <w:rPr>
          <w:rFonts w:ascii="Times New Roman" w:hAnsi="Times New Roman"/>
          <w:b w:val="false"/>
          <w:i w:val="false"/>
          <w:color w:val="000000"/>
          <w:sz w:val="24"/>
        </w:rPr>
        <w:t> </w:t>
      </w:r>
      <w:r>
        <w:rPr>
          <w:rFonts w:ascii="Times New Roman" w:hAnsi="Times New Roman"/>
          <w:b w:val="false"/>
          <w:i w:val="false"/>
          <w:color w:val="000000"/>
          <w:sz w:val="24"/>
        </w:rPr>
        <w:t>The collection shall be made in the presence of a peace officer or other reliable person under the supervision of a peace officer. The peace officer or other person in the presence of the subject shall be of the same gender as the subject.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157.3(2)</w:t>
      </w:r>
      <w:r>
        <w:rPr>
          <w:rFonts w:ascii="Times New Roman" w:hAnsi="Times New Roman"/>
          <w:b w:val="false"/>
          <w:i w:val="false"/>
          <w:color w:val="000000"/>
          <w:sz w:val="24"/>
        </w:rPr>
        <w:t> </w:t>
      </w:r>
      <w:r>
        <w:rPr>
          <w:rFonts w:ascii="Times New Roman" w:hAnsi="Times New Roman"/>
          <w:b w:val="false"/>
          <w:i w:val="false"/>
          <w:color w:val="000000"/>
          <w:sz w:val="24"/>
        </w:rPr>
        <w:t>As soon as practicable, the subject shall urinate into a urine alcohol kit-supplied bottle, cup or other suitable container that is clean, dry, and free from any visible contamination. Anticoagulant and antimicrobial substances in a blood or urine kit do not constitute visible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157.3(3)</w:t>
      </w:r>
      <w:r>
        <w:rPr>
          <w:rFonts w:ascii="Times New Roman" w:hAnsi="Times New Roman"/>
          <w:b w:val="false"/>
          <w:i w:val="false"/>
          <w:color w:val="000000"/>
          <w:sz w:val="24"/>
        </w:rPr>
        <w:t> </w:t>
      </w:r>
      <w:r>
        <w:rPr>
          <w:rFonts w:ascii="Times New Roman" w:hAnsi="Times New Roman"/>
          <w:b w:val="false"/>
          <w:i w:val="false"/>
          <w:color w:val="000000"/>
          <w:sz w:val="24"/>
        </w:rPr>
        <w:t>The peace officer shall collect a second urine void for alcohol testing in a suitable container that is clean, dry, and free from visible contamination. If a second void cannot be collected, the peace officer shall submit a sample from the first void and shall inform the Iowa division of criminal investigation criminalistics laboratory on the laboratory receipt form that the sample is from a first void. It is not necessary that the subject’s bladder be completely emptied.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157.3(4)</w:t>
      </w:r>
      <w:r>
        <w:rPr>
          <w:rFonts w:ascii="Times New Roman" w:hAnsi="Times New Roman"/>
          <w:b w:val="false"/>
          <w:i w:val="false"/>
          <w:color w:val="000000"/>
          <w:sz w:val="24"/>
        </w:rPr>
        <w:t> </w:t>
      </w:r>
      <w:r>
        <w:rPr>
          <w:rFonts w:ascii="Times New Roman" w:hAnsi="Times New Roman"/>
          <w:b w:val="false"/>
          <w:i w:val="false"/>
          <w:color w:val="000000"/>
          <w:sz w:val="24"/>
        </w:rPr>
        <w:t>When collection of the sample for alcohol testing has been completed, the peace officer shall cause a portion of the collected sample to be transferred to a test tube containing 100 milligrams of sodium fluoride and anticoagulant.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157.3(5)</w:t>
      </w:r>
      <w:r>
        <w:rPr>
          <w:rFonts w:ascii="Times New Roman" w:hAnsi="Times New Roman"/>
          <w:b w:val="false"/>
          <w:i w:val="false"/>
          <w:color w:val="000000"/>
          <w:sz w:val="24"/>
        </w:rPr>
        <w:t> </w:t>
      </w:r>
      <w:r>
        <w:rPr>
          <w:rFonts w:ascii="Times New Roman" w:hAnsi="Times New Roman"/>
          <w:b w:val="false"/>
          <w:i w:val="false"/>
          <w:color w:val="000000"/>
          <w:sz w:val="24"/>
        </w:rPr>
        <w:t xml:space="preserve">A listing of test kits known to meet the requirements of subrules </w:t>
      </w:r>
      <w:hyperlink r:id="rId6">
        <w:r>
          <w:rPr>
            <w:rStyle w:val="Hyperlink"/>
            <w:rFonts w:ascii="Times New Roman" w:hAnsi="Times New Roman"/>
            <w:b w:val="false"/>
            <w:i w:val="false"/>
            <w:color w:val="000000"/>
            <w:sz w:val="24"/>
          </w:rPr>
          <w:t>157.3(2)</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157.3(3)</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157.3(4)</w:t>
        </w:r>
      </w:hyperlink>
      <w:r>
        <w:rPr>
          <w:rFonts w:ascii="Times New Roman" w:hAnsi="Times New Roman"/>
          <w:b w:val="false"/>
          <w:i w:val="false"/>
          <w:color w:val="000000"/>
          <w:sz w:val="24"/>
        </w:rPr>
        <w:t xml:space="preserve"> may be found on the division of criminal investigation criminalistics laboratory website. Any peace officer wishing to use a test kit that is not listed should inquire of the division of criminal investigation criminalistics laboratory as to whether the other test kit meets the requirements. Any provider of test kits may request the addition of a kit to the list by sending a sample kit to the administrator of the division of criminal investigation criminalistics laboratory with a cover letter requesting that the kit be added to the list of kits known to meet the requirements of this subrule.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The current location of information about test kits on the laboratory website is: dps.iowa.gov/divisions-iowa-department-public-safety/iowa-division-criminal-investigation/iowa-dci-criminalistics-laboratory/toxicology-section.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157.3(6)</w:t>
      </w:r>
      <w:r>
        <w:rPr>
          <w:rFonts w:ascii="Times New Roman" w:hAnsi="Times New Roman"/>
          <w:b w:val="false"/>
          <w:i w:val="false"/>
          <w:color w:val="000000"/>
          <w:sz w:val="24"/>
        </w:rPr>
        <w:t> </w:t>
      </w:r>
      <w:r>
        <w:rPr>
          <w:rFonts w:ascii="Times New Roman" w:hAnsi="Times New Roman"/>
          <w:b w:val="false"/>
          <w:i w:val="false"/>
          <w:color w:val="000000"/>
          <w:sz w:val="24"/>
        </w:rPr>
        <w:t>If the peace officer requests additional toxicological testing, the remainder of the sample may be retained in a container and sent for analysis to the division of criminal investigation criminalistics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157.3(7)</w:t>
      </w:r>
      <w:r>
        <w:rPr>
          <w:rFonts w:ascii="Times New Roman" w:hAnsi="Times New Roman"/>
          <w:b w:val="false"/>
          <w:i w:val="false"/>
          <w:color w:val="000000"/>
          <w:sz w:val="24"/>
        </w:rPr>
        <w:t> </w:t>
      </w:r>
      <w:r>
        <w:rPr>
          <w:rFonts w:ascii="Times New Roman" w:hAnsi="Times New Roman"/>
          <w:b w:val="false"/>
          <w:i w:val="false"/>
          <w:color w:val="000000"/>
          <w:sz w:val="24"/>
        </w:rPr>
        <w:t>The peace officer shall label the container showing the date and time the sample was collected and identifying the peace officer, the subject, and the person present during the collection of the sample if other than the peace officer.</w:t>
      </w:r>
    </w:p>
    <w:p>
      <w:pPr>
        <w:spacing w:before="210" w:after="0" w:line="480"/>
        <w:ind w:left="120"/>
        <w:jc w:val="both"/>
      </w:pPr>
      <w:r>
        <w:rPr>
          <w:rFonts w:ascii="Times New Roman" w:hAnsi="Times New Roman"/>
          <w:b/>
          <w:i w:val="false"/>
          <w:color w:val="000000"/>
          <w:sz w:val="24"/>
        </w:rPr>
        <w:t>661—157.4</w:t>
      </w:r>
      <w:r>
        <w:rPr>
          <w:rFonts w:ascii="Times New Roman" w:hAnsi="Times New Roman"/>
          <w:b/>
          <w:i w:val="false"/>
          <w:color w:val="000000"/>
          <w:sz w:val="24"/>
        </w:rPr>
        <w:t xml:space="preserve">(321J) </w:t>
      </w:r>
      <w:r>
        <w:rPr>
          <w:rFonts w:ascii="Times New Roman" w:hAnsi="Times New Roman"/>
          <w:b/>
          <w:i w:val="false"/>
          <w:color w:val="000000"/>
          <w:sz w:val="24"/>
        </w:rPr>
        <w:t xml:space="preserve">Submission of samples for alcohol and drug testing to the criminalistics laboratory. </w:t>
      </w:r>
      <w:r>
        <w:rPr>
          <w:rFonts w:ascii="Times New Roman" w:hAnsi="Times New Roman"/>
          <w:b w:val="false"/>
          <w:i w:val="false"/>
          <w:color w:val="000000"/>
          <w:sz w:val="24"/>
        </w:rPr>
        <w:t>Any sample of urine or blood may be submitted to the division of criminal investigation criminalistics laboratory or other appropriate laboratory via ordinary mail, private courier, or personal delivery.</w:t>
      </w:r>
    </w:p>
    <w:p>
      <w:pPr>
        <w:spacing w:before="0" w:after="0" w:line="480"/>
        <w:ind w:left="120"/>
        <w:jc w:val="both"/>
      </w:pPr>
      <w:r>
        <w:rPr>
          <w:rFonts w:ascii="Times New Roman" w:hAnsi="Times New Roman"/>
          <w:b/>
          <w:i w:val="false"/>
          <w:color w:val="000000"/>
          <w:sz w:val="24"/>
        </w:rPr>
        <w:t>661—157.5</w:t>
      </w:r>
      <w:r>
        <w:rPr>
          <w:rFonts w:ascii="Times New Roman" w:hAnsi="Times New Roman"/>
          <w:b/>
          <w:i w:val="false"/>
          <w:color w:val="000000"/>
          <w:sz w:val="24"/>
        </w:rPr>
        <w:t xml:space="preserve">(321J) </w:t>
      </w:r>
      <w:r>
        <w:rPr>
          <w:rFonts w:ascii="Times New Roman" w:hAnsi="Times New Roman"/>
          <w:b/>
          <w:i w:val="false"/>
          <w:color w:val="000000"/>
          <w:sz w:val="24"/>
        </w:rPr>
        <w:t xml:space="preserve">Preliminary breath screening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157.5(1)</w:t>
      </w:r>
      <w:r>
        <w:rPr>
          <w:rFonts w:ascii="Times New Roman" w:hAnsi="Times New Roman"/>
          <w:b w:val="false"/>
          <w:i w:val="false"/>
          <w:color w:val="000000"/>
          <w:sz w:val="24"/>
        </w:rPr>
        <w:t> </w:t>
      </w:r>
      <w:r>
        <w:rPr>
          <w:rFonts w:ascii="Times New Roman" w:hAnsi="Times New Roman"/>
          <w:b w:val="false"/>
          <w:i w:val="false"/>
          <w:color w:val="000000"/>
          <w:sz w:val="24"/>
        </w:rPr>
        <w:t>A peace officer desiring to perform a preliminary screening test of a person’s breath shall use a device approved by the division of criminal investigation criminalistics laboratory. Such devices are approved for accuracy and precision using a dry gas standard or breath simulating device. The division of criminal investigation criminalistics laboratory shall employ scientifically established tests or methods appropriate to a particular device in determining whether the device meets an acceptable standard for operation including accuracy, or the laboratory may, at its discretion, accept test results from another laboratory. The standards shall include the requirement that in all cases the device shall indicate the alcohol concentration on a numerical display. Devices shall be of a type that may be calibrated on a monthly basis by officers in the field.</w:t>
      </w:r>
    </w:p>
    <w:p>
      <w:pPr>
        <w:spacing w:before="0" w:after="0" w:line="480"/>
        <w:ind w:left="120"/>
        <w:jc w:val="both"/>
      </w:pPr>
      <w:r>
        <w:rPr>
          <w:rFonts w:ascii="Times New Roman" w:hAnsi="Times New Roman"/>
          <w:b w:val="false"/>
          <w:i w:val="false"/>
          <w:color w:val="000000"/>
          <w:sz w:val="24"/>
        </w:rPr>
        <w:t>The division of criminal investigation criminalistics laboratory shall maintain a list of devices approved by the commissioner for use as preliminary breath screening devices. The list of currently approved devices is available on the website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157.5(2)</w:t>
      </w:r>
      <w:r>
        <w:rPr>
          <w:rFonts w:ascii="Times New Roman" w:hAnsi="Times New Roman"/>
          <w:b w:val="false"/>
          <w:i w:val="false"/>
          <w:color w:val="000000"/>
          <w:sz w:val="24"/>
        </w:rPr>
        <w:t> </w:t>
      </w:r>
      <w:r>
        <w:rPr>
          <w:rFonts w:ascii="Times New Roman" w:hAnsi="Times New Roman"/>
          <w:b w:val="false"/>
          <w:i w:val="false"/>
          <w:color w:val="000000"/>
          <w:sz w:val="24"/>
        </w:rPr>
        <w:t>Any peace officer using an approved device shall follow the instructions furnished by the manufacturer for use of such a device. The calibration of each unit shall be checked at least once per month, and the device shall be calibrated, if necessary, using a dry gas standard. The officer or officer’s department shall maintain a record of each calibration. This record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identity of the person performing the calibration.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value of standard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unit type and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expiration date of the standard used.</w:t>
      </w:r>
    </w:p>
    <w:p>
      <w:pPr>
        <w:spacing w:before="210" w:after="0" w:line="480"/>
        <w:ind w:left="120"/>
        <w:jc w:val="both"/>
      </w:pPr>
      <w:r>
        <w:rPr>
          <w:rFonts w:ascii="Times New Roman" w:hAnsi="Times New Roman"/>
          <w:b/>
          <w:i w:val="false"/>
          <w:color w:val="000000"/>
          <w:sz w:val="24"/>
        </w:rPr>
        <w:t>661—157.6</w:t>
      </w:r>
      <w:r>
        <w:rPr>
          <w:rFonts w:ascii="Times New Roman" w:hAnsi="Times New Roman"/>
          <w:b/>
          <w:i w:val="false"/>
          <w:color w:val="000000"/>
          <w:sz w:val="24"/>
        </w:rPr>
        <w:t xml:space="preserve">(123) </w:t>
      </w:r>
      <w:r>
        <w:rPr>
          <w:rFonts w:ascii="Times New Roman" w:hAnsi="Times New Roman"/>
          <w:b/>
          <w:i w:val="false"/>
          <w:color w:val="000000"/>
          <w:sz w:val="24"/>
        </w:rPr>
        <w:t xml:space="preserve">Chemical test—alcohol concentration—public intoxication. </w:t>
      </w:r>
      <w:r>
        <w:rPr>
          <w:rFonts w:ascii="Times New Roman" w:hAnsi="Times New Roman"/>
          <w:b w:val="false"/>
          <w:i w:val="false"/>
          <w:color w:val="000000"/>
          <w:sz w:val="24"/>
        </w:rPr>
        <w:t xml:space="preserve">All devices and methods approved in this chapter for the purpose of determining a person’s alcohol concentration for evidential purposes under Iowa Code chapter </w:t>
      </w:r>
      <w:hyperlink r:id="rId9">
        <w:r>
          <w:rPr>
            <w:rStyle w:val="Hyperlink"/>
            <w:rFonts w:ascii="Times New Roman" w:hAnsi="Times New Roman"/>
            <w:b w:val="false"/>
            <w:i w:val="false"/>
            <w:color w:val="000000"/>
            <w:sz w:val="24"/>
          </w:rPr>
          <w:t>321J</w:t>
        </w:r>
      </w:hyperlink>
      <w:r>
        <w:rPr>
          <w:rFonts w:ascii="Times New Roman" w:hAnsi="Times New Roman"/>
          <w:b w:val="false"/>
          <w:i w:val="false"/>
          <w:color w:val="000000"/>
          <w:sz w:val="24"/>
        </w:rPr>
        <w:t xml:space="preserve">, and the devices otherwise approved in this chapter only for use in performing preliminary breath screening tests, are equally approved for testing to determine alcohol concentration in connection with arrests for public intoxication under Iowa Code section </w:t>
      </w:r>
      <w:hyperlink r:id="rId10">
        <w:r>
          <w:rPr>
            <w:rStyle w:val="Hyperlink"/>
            <w:rFonts w:ascii="Times New Roman" w:hAnsi="Times New Roman"/>
            <w:b w:val="false"/>
            <w:i w:val="false"/>
            <w:color w:val="000000"/>
            <w:sz w:val="24"/>
          </w:rPr>
          <w:t>123.46</w:t>
        </w:r>
      </w:hyperlink>
      <w:r>
        <w:rPr>
          <w:rFonts w:ascii="Times New Roman" w:hAnsi="Times New Roman"/>
          <w:b w:val="false"/>
          <w:i w:val="false"/>
          <w:color w:val="000000"/>
          <w:sz w:val="24"/>
        </w:rPr>
        <w:t xml:space="preserve">. The chemical test results shall be expressed in terms of alcohol concentration as defined in Iowa Code section </w:t>
      </w:r>
      <w:hyperlink r:id="rId11">
        <w:r>
          <w:rPr>
            <w:rStyle w:val="Hyperlink"/>
            <w:rFonts w:ascii="Times New Roman" w:hAnsi="Times New Roman"/>
            <w:b w:val="false"/>
            <w:i w:val="false"/>
            <w:color w:val="000000"/>
            <w:sz w:val="24"/>
          </w:rPr>
          <w:t>321J.1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661—157.7</w:t>
      </w:r>
      <w:r>
        <w:rPr>
          <w:rFonts w:ascii="Times New Roman" w:hAnsi="Times New Roman"/>
          <w:b/>
          <w:i w:val="false"/>
          <w:color w:val="000000"/>
          <w:sz w:val="24"/>
        </w:rPr>
        <w:t xml:space="preserve">(321J) </w:t>
      </w:r>
      <w:r>
        <w:rPr>
          <w:rFonts w:ascii="Times New Roman" w:hAnsi="Times New Roman"/>
          <w:b/>
          <w:i w:val="false"/>
          <w:color w:val="000000"/>
          <w:sz w:val="24"/>
        </w:rPr>
        <w:t xml:space="preserve">Detection of drugs other than alcohol. </w:t>
      </w:r>
    </w:p>
    <w:p>
      <w:pPr>
        <w:spacing w:before="0" w:after="0" w:line="480"/>
        <w:ind w:left="120"/>
        <w:jc w:val="both"/>
      </w:pPr>
      <w:r>
        <w:rPr>
          <w:rFonts w:ascii="Times New Roman" w:hAnsi="Times New Roman"/>
          <w:b/>
          <w:i w:val="false"/>
          <w:color w:val="000000"/>
          <w:sz w:val="24"/>
        </w:rPr>
        <w:t>157.7(1)</w:t>
      </w:r>
      <w:r>
        <w:rPr>
          <w:rFonts w:ascii="Times New Roman" w:hAnsi="Times New Roman"/>
          <w:b w:val="false"/>
          <w:i w:val="false"/>
          <w:color w:val="000000"/>
          <w:sz w:val="24"/>
        </w:rPr>
        <w:t> </w:t>
      </w:r>
      <w:r>
        <w:rPr>
          <w:rFonts w:ascii="Times New Roman" w:hAnsi="Times New Roman"/>
          <w:b w:val="false"/>
          <w:i/>
          <w:color w:val="000000"/>
          <w:sz w:val="24"/>
        </w:rPr>
        <w:t xml:space="preserve">Adoption of federal standards. </w:t>
      </w:r>
      <w:r>
        <w:rPr>
          <w:rFonts w:ascii="Times New Roman" w:hAnsi="Times New Roman"/>
          <w:b w:val="false"/>
          <w:i w:val="false"/>
          <w:color w:val="000000"/>
          <w:sz w:val="24"/>
        </w:rPr>
        <w:t>Initial test requirements based upon standards adopted by the federal Substance Abuse and Health Services Administration in “Mandatory Guidelines for Federal Workplace Drug Testing Programs,” 88 FR 70768, Section 3.4, and displayed in the following table are hereby adopted as standards for determining detectable levels of controlled substances in a person’s urine in the division of criminal investigation criminalistics laboratory initial testing or analysis for controlled substances detected by the presence of the following: marijuana metabolites, cocaine metabolites, codeine/morphine, hydrocodone/hydromorphone, oxycodone/oxymorphone, 6-acetylmorphine, phencyclidine, amphetamine/methamphetamine, and MDMA/MDA. The following table shows the minimum levels of these substances that will result in a finding that a controlled substance is present at a detectable level:</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355"/>
        <w:gridCol w:w="3597"/>
      </w:tblGrid>
      <w:tr>
        <w:trPr>
          <w:trHeight w:val="270" w:hRule="atLeast"/>
        </w:trPr>
        <w:tc>
          <w:tcPr>
            <w:tcW w:w="53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xml:space="preserve"> Initial test analyte</w:t>
            </w:r>
          </w:p>
        </w:tc>
        <w:tc>
          <w:tcPr>
            <w:tcW w:w="359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Initial test cutoff</w:t>
            </w:r>
            <w:r>
              <w:rPr>
                <w:rFonts w:ascii="Times New Roman" w:hAnsi="Times New Roman"/>
                <w:b w:val="false"/>
                <w:i w:val="false"/>
                <w:color w:val="000000"/>
                <w:sz w:val="14"/>
                <w:vertAlign w:val="superscript"/>
              </w:rPr>
              <w:t>1</w:t>
            </w:r>
          </w:p>
        </w:tc>
      </w:tr>
      <w:tr>
        <w:trPr>
          <w:trHeight w:val="270" w:hRule="atLeast"/>
        </w:trPr>
        <w:tc>
          <w:tcPr>
            <w:tcW w:w="5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Marijuana metabolites (THCA)</w:t>
            </w:r>
            <w:r>
              <w:rPr>
                <w:rFonts w:ascii="Times New Roman" w:hAnsi="Times New Roman"/>
                <w:b w:val="false"/>
                <w:i w:val="false"/>
                <w:color w:val="000000"/>
                <w:sz w:val="14"/>
                <w:vertAlign w:val="superscript"/>
              </w:rPr>
              <w:t>2</w:t>
            </w:r>
          </w:p>
        </w:tc>
        <w:tc>
          <w:tcPr>
            <w:tcW w:w="359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 ng/mL</w:t>
            </w:r>
            <w:r>
              <w:rPr>
                <w:rFonts w:ascii="Times New Roman" w:hAnsi="Times New Roman"/>
                <w:b w:val="false"/>
                <w:i w:val="false"/>
                <w:color w:val="000000"/>
                <w:sz w:val="14"/>
                <w:vertAlign w:val="superscript"/>
              </w:rPr>
              <w:t>3</w:t>
            </w:r>
          </w:p>
        </w:tc>
      </w:tr>
      <w:tr>
        <w:trPr>
          <w:trHeight w:val="270" w:hRule="atLeast"/>
        </w:trPr>
        <w:tc>
          <w:tcPr>
            <w:tcW w:w="5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Cocaine metabolites (Benzoylecgonine)</w:t>
            </w:r>
          </w:p>
        </w:tc>
        <w:tc>
          <w:tcPr>
            <w:tcW w:w="359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 ng/mL</w:t>
            </w:r>
            <w:r>
              <w:rPr>
                <w:rFonts w:ascii="Times New Roman" w:hAnsi="Times New Roman"/>
                <w:b w:val="false"/>
                <w:i w:val="false"/>
                <w:color w:val="000000"/>
                <w:sz w:val="14"/>
                <w:vertAlign w:val="superscript"/>
              </w:rPr>
              <w:t>3</w:t>
            </w:r>
          </w:p>
        </w:tc>
      </w:tr>
      <w:tr>
        <w:trPr>
          <w:trHeight w:val="195" w:hRule="atLeast"/>
        </w:trPr>
        <w:tc>
          <w:tcPr>
            <w:tcW w:w="5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Codeine/Morphine</w:t>
            </w:r>
          </w:p>
        </w:tc>
        <w:tc>
          <w:tcPr>
            <w:tcW w:w="359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 ng/mL</w:t>
            </w:r>
          </w:p>
        </w:tc>
      </w:tr>
      <w:tr>
        <w:trPr>
          <w:trHeight w:val="195" w:hRule="atLeast"/>
        </w:trPr>
        <w:tc>
          <w:tcPr>
            <w:tcW w:w="5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Hydrocodone/Hydromorphone</w:t>
            </w:r>
          </w:p>
        </w:tc>
        <w:tc>
          <w:tcPr>
            <w:tcW w:w="359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300 ng/mL</w:t>
            </w:r>
          </w:p>
        </w:tc>
      </w:tr>
      <w:tr>
        <w:trPr>
          <w:trHeight w:val="195" w:hRule="atLeast"/>
        </w:trPr>
        <w:tc>
          <w:tcPr>
            <w:tcW w:w="5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Oxycodone/Oxymorphone</w:t>
            </w:r>
          </w:p>
        </w:tc>
        <w:tc>
          <w:tcPr>
            <w:tcW w:w="359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100 ng/mL</w:t>
            </w:r>
          </w:p>
        </w:tc>
      </w:tr>
      <w:tr>
        <w:trPr>
          <w:trHeight w:val="195" w:hRule="atLeast"/>
        </w:trPr>
        <w:tc>
          <w:tcPr>
            <w:tcW w:w="5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6-Acetylmorphine</w:t>
            </w:r>
          </w:p>
        </w:tc>
        <w:tc>
          <w:tcPr>
            <w:tcW w:w="359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10 ng/mL</w:t>
            </w:r>
          </w:p>
        </w:tc>
      </w:tr>
      <w:tr>
        <w:trPr>
          <w:trHeight w:val="195" w:hRule="atLeast"/>
        </w:trPr>
        <w:tc>
          <w:tcPr>
            <w:tcW w:w="5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Phencyclidine</w:t>
            </w:r>
          </w:p>
        </w:tc>
        <w:tc>
          <w:tcPr>
            <w:tcW w:w="359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 ng/mL</w:t>
            </w:r>
          </w:p>
        </w:tc>
      </w:tr>
      <w:tr>
        <w:trPr>
          <w:trHeight w:val="195" w:hRule="atLeast"/>
        </w:trPr>
        <w:tc>
          <w:tcPr>
            <w:tcW w:w="53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Amphetamine/Methamphetamine</w:t>
            </w:r>
          </w:p>
        </w:tc>
        <w:tc>
          <w:tcPr>
            <w:tcW w:w="359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 ng/mL</w:t>
            </w:r>
          </w:p>
        </w:tc>
      </w:tr>
      <w:tr>
        <w:trPr>
          <w:trHeight w:val="270" w:hRule="atLeast"/>
        </w:trPr>
        <w:tc>
          <w:tcPr>
            <w:tcW w:w="535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MDMA</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/MDA</w:t>
            </w:r>
            <w:r>
              <w:rPr>
                <w:rFonts w:ascii="Times New Roman" w:hAnsi="Times New Roman"/>
                <w:b w:val="false"/>
                <w:i w:val="false"/>
                <w:color w:val="000000"/>
                <w:sz w:val="14"/>
                <w:vertAlign w:val="superscript"/>
              </w:rPr>
              <w:t>5</w:t>
            </w:r>
          </w:p>
        </w:tc>
        <w:tc>
          <w:tcPr>
            <w:tcW w:w="359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 ng/mL</w:t>
            </w:r>
          </w:p>
        </w:tc>
      </w:tr>
    </w:tbl>
    <w:p>
      <w:pPr>
        <w:spacing w:before="0" w:after="0" w:line="480"/>
        <w:ind w:left="120"/>
        <w:jc w:val="both"/>
      </w:pPr>
      <w:r>
        <w:rPr>
          <w:rFonts w:ascii="Times New Roman" w:hAnsi="Times New Roman"/>
          <w:b w:val="false"/>
          <w:i w:val="false"/>
          <w:color w:val="000000"/>
          <w:sz w:val="15"/>
        </w:rPr>
        <w:t>1</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5"/>
        </w:rPr>
        <w:t xml:space="preserve"> For grouped analytes (i.e., two or more analytes that are in the same drug class and have the same initial test cutoff):</w:t>
      </w:r>
    </w:p>
    <w:p>
      <w:pPr>
        <w:spacing w:before="0" w:after="0" w:line="480"/>
        <w:ind w:left="120"/>
        <w:jc w:val="both"/>
      </w:pPr>
      <w:r>
        <w:rPr>
          <w:rFonts w:ascii="Times New Roman" w:hAnsi="Times New Roman"/>
          <w:b w:val="false"/>
          <w:i/>
          <w:color w:val="000000"/>
          <w:sz w:val="24"/>
        </w:rPr>
        <w:t>Immunoassay</w:t>
      </w:r>
      <w:r>
        <w:rPr>
          <w:rFonts w:ascii="Times New Roman" w:hAnsi="Times New Roman"/>
          <w:b w:val="false"/>
          <w:i w:val="false"/>
          <w:color w:val="000000"/>
          <w:sz w:val="15"/>
        </w:rPr>
        <w:t>: The test must be calibrated with one analyte from the group identified as the target analyte. The cross-reactivity of the immunoassay to the other analyte(s) within the group must be 80 percent or greater; if not, separate immunoassays must be used for the analytes within the group.</w:t>
      </w: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Alternate technology</w:t>
      </w:r>
      <w:r>
        <w:rPr>
          <w:rFonts w:ascii="Times New Roman" w:hAnsi="Times New Roman"/>
          <w:b w:val="false"/>
          <w:i w:val="false"/>
          <w:color w:val="000000"/>
          <w:sz w:val="15"/>
        </w:rPr>
        <w:t>: Either one analyte or all analytes from the group must be used for calibration, depending on the technology. At least one analyte within the group must have a concentration equal to or greater than the initial test cutoff or, alternatively, the sum of the analytes present (i.e., equal to or greater than the laboratory’s validated limit of quantification) must be equal to or greater than the initial test cutoff.</w:t>
      </w: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15"/>
        </w:rPr>
        <w:t>2</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5"/>
        </w:rPr>
        <w:t xml:space="preserve"> An immunoassay must be calibrated with the target analyte, D-9-tetrahydrocannabinol-9-carboxylic acid (THCA).</w:t>
      </w:r>
    </w:p>
    <w:p>
      <w:pPr>
        <w:spacing w:before="0" w:after="0" w:line="480"/>
        <w:ind w:left="120"/>
        <w:jc w:val="both"/>
      </w:pPr>
      <w:r>
        <w:rPr>
          <w:rFonts w:ascii="Times New Roman" w:hAnsi="Times New Roman"/>
          <w:b w:val="false"/>
          <w:i w:val="false"/>
          <w:color w:val="000000"/>
          <w:sz w:val="15"/>
        </w:rPr>
        <w:t>3</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color w:val="000000"/>
          <w:sz w:val="24"/>
        </w:rPr>
        <w:t>Alternate technology</w:t>
      </w:r>
      <w:r>
        <w:rPr>
          <w:rFonts w:ascii="Times New Roman" w:hAnsi="Times New Roman"/>
          <w:b w:val="false"/>
          <w:i w:val="false"/>
          <w:color w:val="000000"/>
          <w:sz w:val="15"/>
        </w:rPr>
        <w:t xml:space="preserve"> (THCA and benzoylecgonine): The confirmatory test cutoff must be used for an alternate technology initial test that is specific for the target analyte (i.e., 15 ng/mL for THCA, 100 ng/mL for benzoylecgonine).</w:t>
      </w:r>
    </w:p>
    <w:p>
      <w:pPr>
        <w:spacing w:before="0" w:after="0" w:line="480"/>
        <w:ind w:left="120"/>
        <w:jc w:val="both"/>
      </w:pPr>
      <w:r>
        <w:rPr>
          <w:rFonts w:ascii="Times New Roman" w:hAnsi="Times New Roman"/>
          <w:b w:val="false"/>
          <w:i w:val="false"/>
          <w:color w:val="000000"/>
          <w:sz w:val="15"/>
        </w:rPr>
        <w:t>4</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5"/>
        </w:rPr>
        <w:t xml:space="preserve">Methylenedioxymethamphetamine (MDMA). </w:t>
      </w:r>
    </w:p>
    <w:p>
      <w:pPr>
        <w:spacing w:before="0" w:after="0" w:line="480"/>
        <w:ind w:left="120"/>
        <w:jc w:val="both"/>
      </w:pPr>
      <w:r>
        <w:rPr>
          <w:rFonts w:ascii="Times New Roman" w:hAnsi="Times New Roman"/>
          <w:b w:val="false"/>
          <w:i w:val="false"/>
          <w:color w:val="000000"/>
          <w:sz w:val="15"/>
        </w:rPr>
        <w:t>5</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5"/>
        </w:rPr>
        <w:t>Methylenedioxyamphetamine (MDA).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157.7(2)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2">
        <w:r>
          <w:rPr>
            <w:rStyle w:val="Hyperlink"/>
            <w:rFonts w:ascii="Times New Roman" w:hAnsi="Times New Roman"/>
            <w:b w:val="false"/>
            <w:i w:val="false"/>
            <w:color w:val="000000"/>
            <w:sz w:val="24"/>
          </w:rPr>
          <w:t>123.46</w:t>
        </w:r>
      </w:hyperlink>
      <w:r>
        <w:rPr>
          <w:rFonts w:ascii="Times New Roman" w:hAnsi="Times New Roman"/>
          <w:b w:val="false"/>
          <w:i w:val="false"/>
          <w:color w:val="000000"/>
          <w:sz w:val="24"/>
        </w:rPr>
        <w:t xml:space="preserve"> and chapter </w:t>
      </w:r>
      <w:hyperlink r:id="rId13">
        <w:r>
          <w:rPr>
            <w:rStyle w:val="Hyperlink"/>
            <w:rFonts w:ascii="Times New Roman" w:hAnsi="Times New Roman"/>
            <w:b w:val="false"/>
            <w:i w:val="false"/>
            <w:color w:val="000000"/>
            <w:sz w:val="24"/>
          </w:rPr>
          <w:t>321J</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661.157.3.pdf" Type="http://schemas.openxmlformats.org/officeDocument/2006/relationships/hyperlink" Id="rId6"/>
    <Relationship TargetMode="External" Target="https://www.legis.iowa.gov/docs/iac/rule/661.157.3.pdf" Type="http://schemas.openxmlformats.org/officeDocument/2006/relationships/hyperlink" Id="rId7"/>
    <Relationship TargetMode="External" Target="https://www.legis.iowa.gov/docs/iac/rule/661.157.3.pdf" Type="http://schemas.openxmlformats.org/officeDocument/2006/relationships/hyperlink" Id="rId8"/>
    <Relationship TargetMode="External" Target="https://www.legis.iowa.gov/docs/ico/chapter/321J.pdf" Type="http://schemas.openxmlformats.org/officeDocument/2006/relationships/hyperlink" Id="rId9"/>
    <Relationship TargetMode="External" Target="https://www.legis.iowa.gov/docs/ico/chapter/123.46.pdf" Type="http://schemas.openxmlformats.org/officeDocument/2006/relationships/hyperlink" Id="rId10"/>
    <Relationship TargetMode="External" Target="https://www.legis.iowa.gov/docs/ico/chapter/321J.1.pdf" Type="http://schemas.openxmlformats.org/officeDocument/2006/relationships/hyperlink" Id="rId11"/>
    <Relationship TargetMode="External" Target="https://www.legis.iowa.gov/docs/ico/chapter/123.46.pdf" Type="http://schemas.openxmlformats.org/officeDocument/2006/relationships/hyperlink" Id="rId12"/>
    <Relationship TargetMode="External" Target="https://www.legis.iowa.gov/docs/ico/chapter/321J.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