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44D" w:id="1"/>
    <w:p>
      <w:pPr>
        <w:spacing w:before="0" w:after="0" w:line="480"/>
        <w:ind w:left="120"/>
        <w:jc w:val="right"/>
      </w:pPr>
      <w:r>
        <w:rPr>
          <w:rFonts w:ascii="Times New Roman" w:hAnsi="Times New Roman"/>
          <w:b/>
          <w:i w:val="false"/>
          <w:color w:val="000000"/>
          <w:sz w:val="28"/>
        </w:rPr>
        <w:t>ARC 0644D</w:t>
      </w:r>
    </w:p>
    <w:bookmarkEnd w:id="1"/>
    <w:p>
      <w:pPr>
        <w:pBdr>
          <w:top w:space="5"/>
        </w:pBdr>
        <w:spacing w:before="0" w:after="0" w:line="480"/>
        <w:ind w:left="120"/>
        <w:jc w:val="center"/>
      </w:pPr>
      <w:r>
        <w:rPr>
          <w:rFonts w:ascii="Times New Roman" w:hAnsi="Times New Roman"/>
          <w:b/>
          <w:i w:val="false"/>
          <w:color w:val="000000"/>
          <w:sz w:val="28"/>
        </w:rPr>
        <w:t>PUBLIC SAFETY DEPARTMENT[661]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the Iowa sex offender registry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Public Safety Department hereby proposes to rescind Chapter 83, “Iowa Sex Offender Registry,” Iowa Administrative Code, and to adopt a new Chapter 83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692A.130 and Executive Order 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692A.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proposes to rescind Chapter 83 and adopt a new chapter in lieu thereof. The proposed chapter outlines forms and registration and verification procedures prescribed for use with the Iowa Sex Offender Registry (SOR).</w:t>
      </w:r>
    </w:p>
    <w:p>
      <w:pPr>
        <w:spacing w:before="0" w:after="0" w:line="480"/>
        <w:ind w:left="120"/>
        <w:jc w:val="both"/>
      </w:pPr>
      <w:r>
        <w:rPr>
          <w:rFonts w:ascii="Times New Roman" w:hAnsi="Times New Roman"/>
          <w:b w:val="false"/>
          <w:i w:val="false"/>
          <w:color w:val="000000"/>
          <w:sz w:val="24"/>
        </w:rPr>
        <w:t xml:space="preserve">    This rulemaking also makes conforming changes pursuant to 2026 Iowa Acts, Senate File 2379.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19,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8, 2026</w:t>
      </w:r>
    </w:p>
    <w:p>
      <w:pPr>
        <w:spacing w:before="0" w:after="0" w:line="480"/>
        <w:ind w:left="120"/>
        <w:jc w:val="both"/>
      </w:pPr>
      <w:r>
        <w:rPr>
          <w:rFonts w:ascii="Times New Roman" w:hAnsi="Times New Roman"/>
          <w:b w:val="false"/>
          <w:i w:val="false"/>
          <w:color w:val="000000"/>
          <w:sz w:val="24"/>
        </w:rPr>
        <w:t>    No public comments were received.</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November 4,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Josie Wagler </w:t>
            </w:r>
            <w:r>
              <w:br/>
            </w:r>
            <w:r>
              <w:rPr>
                <w:rFonts w:ascii="Times New Roman" w:hAnsi="Times New Roman"/>
                <w:b w:val="false"/>
                <w:i w:val="false"/>
                <w:color w:val="000000"/>
                <w:sz w:val="14"/>
              </w:rPr>
              <w:t xml:space="preserve">Department of Public Safety </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515.725.6185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November 3, 2026</w:t>
            </w:r>
            <w:r>
              <w:br/>
            </w:r>
            <w:r>
              <w:rPr>
                <w:rFonts w:ascii="Times New Roman" w:hAnsi="Times New Roman"/>
                <w:b w:val="false"/>
                <w:i w:val="false"/>
                <w:color w:val="000000"/>
                <w:sz w:val="14"/>
              </w:rPr>
              <w:t xml:space="preserve"> 2 to 2:30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First Floor Public Conference Room 125</w:t>
            </w:r>
            <w:r>
              <w:br/>
            </w:r>
            <w:r>
              <w:rPr>
                <w:rFonts w:ascii="Times New Roman" w:hAnsi="Times New Roman"/>
                <w:b w:val="false"/>
                <w:i w:val="false"/>
                <w:color w:val="000000"/>
                <w:sz w:val="14"/>
              </w:rPr>
              <w:t xml:space="preserve"> Oran Pape State Office Building</w:t>
            </w:r>
            <w:r>
              <w:br/>
            </w:r>
            <w:r>
              <w:rPr>
                <w:rFonts w:ascii="Times New Roman" w:hAnsi="Times New Roman"/>
                <w:b w:val="false"/>
                <w:i w:val="false"/>
                <w:color w:val="000000"/>
                <w:sz w:val="14"/>
              </w:rPr>
              <w:t xml:space="preserve"> Des Moines, Iowa </w:t>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November 4, 2026</w:t>
            </w:r>
            <w:r>
              <w:br/>
            </w:r>
            <w:r>
              <w:rPr>
                <w:rFonts w:ascii="Times New Roman" w:hAnsi="Times New Roman"/>
                <w:b w:val="false"/>
                <w:i w:val="false"/>
                <w:color w:val="000000"/>
                <w:sz w:val="14"/>
              </w:rPr>
              <w:t xml:space="preserve"> 11 to 11:30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First Floor Public Conference Room 125</w:t>
            </w:r>
            <w:r>
              <w:br/>
            </w:r>
            <w:r>
              <w:rPr>
                <w:rFonts w:ascii="Times New Roman" w:hAnsi="Times New Roman"/>
                <w:b w:val="false"/>
                <w:i w:val="false"/>
                <w:color w:val="000000"/>
                <w:sz w:val="14"/>
              </w:rPr>
              <w:t xml:space="preserve"> Oran Pape State Office Building</w:t>
            </w:r>
            <w:r>
              <w:br/>
            </w:r>
            <w:r>
              <w:rPr>
                <w:rFonts w:ascii="Times New Roman" w:hAnsi="Times New Roman"/>
                <w:b w:val="false"/>
                <w:i w:val="false"/>
                <w:color w:val="000000"/>
                <w:sz w:val="14"/>
              </w:rPr>
              <w:t xml:space="preserve"> Des Moines, Iowa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83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83</w:t>
      </w:r>
    </w:p>
    <w:p>
      <w:pPr>
        <w:spacing w:before="0" w:after="0" w:line="480"/>
        <w:ind w:left="120"/>
        <w:jc w:val="center"/>
      </w:pPr>
      <w:r>
        <w:rPr>
          <w:rFonts w:ascii="Times New Roman" w:hAnsi="Times New Roman"/>
          <w:b w:val="false"/>
          <w:i w:val="false"/>
          <w:color w:val="000000"/>
          <w:sz w:val="21"/>
        </w:rPr>
        <w:t>IOWA SEX OFFENDER REGISTRY</w:t>
      </w:r>
    </w:p>
    <w:p>
      <w:pPr>
        <w:spacing w:before="210" w:after="0" w:line="480"/>
        <w:ind w:left="120"/>
        <w:jc w:val="both"/>
      </w:pPr>
      <w:r>
        <w:rPr>
          <w:rFonts w:ascii="Times New Roman" w:hAnsi="Times New Roman"/>
          <w:b/>
          <w:i w:val="false"/>
          <w:color w:val="000000"/>
          <w:sz w:val="24"/>
        </w:rPr>
        <w:t>661—83.1</w:t>
      </w:r>
      <w:r>
        <w:rPr>
          <w:rFonts w:ascii="Times New Roman" w:hAnsi="Times New Roman"/>
          <w:b/>
          <w:i w:val="false"/>
          <w:color w:val="000000"/>
          <w:sz w:val="24"/>
        </w:rPr>
        <w:t xml:space="preserve">(692A) </w:t>
      </w:r>
      <w:r>
        <w:rPr>
          <w:rFonts w:ascii="Times New Roman" w:hAnsi="Times New Roman"/>
          <w:b/>
          <w:i w:val="false"/>
          <w:color w:val="000000"/>
          <w:sz w:val="24"/>
        </w:rPr>
        <w:t xml:space="preserve">Sex offender registry established. </w:t>
      </w:r>
      <w:r>
        <w:rPr>
          <w:rFonts w:ascii="Times New Roman" w:hAnsi="Times New Roman"/>
          <w:b w:val="false"/>
          <w:i w:val="false"/>
          <w:color w:val="000000"/>
          <w:sz w:val="24"/>
        </w:rPr>
        <w:t xml:space="preserve">The Iowa sex offender registry, as authorized by Iowa Code chapter </w:t>
      </w:r>
      <w:hyperlink r:id="rId6">
        <w:r>
          <w:rPr>
            <w:rStyle w:val="Hyperlink"/>
            <w:rFonts w:ascii="Times New Roman" w:hAnsi="Times New Roman"/>
            <w:b w:val="false"/>
            <w:i w:val="false"/>
            <w:color w:val="000000"/>
            <w:sz w:val="24"/>
          </w:rPr>
          <w:t>692A</w:t>
        </w:r>
      </w:hyperlink>
      <w:r>
        <w:rPr>
          <w:rFonts w:ascii="Times New Roman" w:hAnsi="Times New Roman"/>
          <w:b w:val="false"/>
          <w:i w:val="false"/>
          <w:color w:val="000000"/>
          <w:sz w:val="24"/>
        </w:rPr>
        <w:t>, is hereby established in the division of criminal investigation.</w:t>
      </w:r>
    </w:p>
    <w:p>
      <w:pPr>
        <w:spacing w:before="210" w:after="0" w:line="480"/>
        <w:ind w:left="120"/>
        <w:jc w:val="both"/>
      </w:pPr>
      <w:r>
        <w:rPr>
          <w:rFonts w:ascii="Times New Roman" w:hAnsi="Times New Roman"/>
          <w:b/>
          <w:i w:val="false"/>
          <w:color w:val="000000"/>
          <w:sz w:val="24"/>
        </w:rPr>
        <w:t>661—83.2</w:t>
      </w:r>
      <w:r>
        <w:rPr>
          <w:rFonts w:ascii="Times New Roman" w:hAnsi="Times New Roman"/>
          <w:b/>
          <w:i w:val="false"/>
          <w:color w:val="000000"/>
          <w:sz w:val="24"/>
        </w:rPr>
        <w:t xml:space="preserve">(692A)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The definitions in Iowa Code section </w:t>
      </w:r>
      <w:hyperlink r:id="rId7">
        <w:r>
          <w:rPr>
            <w:rStyle w:val="Hyperlink"/>
            <w:rFonts w:ascii="Times New Roman" w:hAnsi="Times New Roman"/>
            <w:b w:val="false"/>
            <w:i w:val="false"/>
            <w:color w:val="000000"/>
            <w:sz w:val="24"/>
          </w:rPr>
          <w:t>692A.101</w:t>
        </w:r>
      </w:hyperlink>
      <w:r>
        <w:rPr>
          <w:rFonts w:ascii="Times New Roman" w:hAnsi="Times New Roman"/>
          <w:b w:val="false"/>
          <w:i w:val="false"/>
          <w:color w:val="000000"/>
          <w:sz w:val="24"/>
        </w:rPr>
        <w:t xml:space="preserve"> are adopted and incorporated herein.</w:t>
      </w:r>
    </w:p>
    <w:p>
      <w:pPr>
        <w:spacing w:before="0" w:after="0" w:line="480"/>
        <w:ind w:left="120"/>
        <w:jc w:val="both"/>
      </w:pPr>
      <w:r>
        <w:rPr>
          <w:rFonts w:ascii="Times New Roman" w:hAnsi="Times New Roman"/>
          <w:b/>
          <w:i w:val="false"/>
          <w:color w:val="000000"/>
          <w:sz w:val="24"/>
        </w:rPr>
        <w:t>661—83.3</w:t>
      </w:r>
      <w:r>
        <w:rPr>
          <w:rFonts w:ascii="Times New Roman" w:hAnsi="Times New Roman"/>
          <w:b/>
          <w:i w:val="false"/>
          <w:color w:val="000000"/>
          <w:sz w:val="24"/>
        </w:rPr>
        <w:t xml:space="preserve">(692A) </w:t>
      </w:r>
      <w:r>
        <w:rPr>
          <w:rFonts w:ascii="Times New Roman" w:hAnsi="Times New Roman"/>
          <w:b/>
          <w:i w:val="false"/>
          <w:color w:val="000000"/>
          <w:sz w:val="24"/>
        </w:rPr>
        <w:t xml:space="preserve">Forms and procedures. </w:t>
      </w:r>
      <w:r>
        <w:rPr>
          <w:rFonts w:ascii="Times New Roman" w:hAnsi="Times New Roman"/>
          <w:b w:val="false"/>
          <w:i w:val="false"/>
          <w:color w:val="000000"/>
          <w:sz w:val="24"/>
        </w:rPr>
        <w:t>The following forms and procedures are prescribed for use with the Iowa sex offender registry. Supplies of these forms may be obtained by contacting the Iowa sex offender registry at the division of criminal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83.3(1)</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Form DCI-144, Notification of Registration Requirement, which notifies offenders of their duty to register with the Iowa sex offender registry, shall be provided, in printed form or electronically, to persons identified as being required to register. Failure to provide offenders with Form DCI-144 does not relieve offenders of their duty to register with the Iowa sex offender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83.3(2)</w:t>
      </w:r>
      <w:r>
        <w:rPr>
          <w:rFonts w:ascii="Times New Roman" w:hAnsi="Times New Roman"/>
          <w:b w:val="false"/>
          <w:i w:val="false"/>
          <w:color w:val="000000"/>
          <w:sz w:val="24"/>
        </w:rPr>
        <w:t> </w:t>
      </w:r>
      <w:r>
        <w:rPr>
          <w:rFonts w:ascii="Times New Roman" w:hAnsi="Times New Roman"/>
          <w:b w:val="false"/>
          <w:i/>
          <w:color w:val="000000"/>
          <w:sz w:val="24"/>
        </w:rPr>
        <w:t xml:space="preserve">Registration.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Form DCI-145 or Form DCI-144R, Sex Offender Registration, shall be completed, as required by Iowa Code section </w:t>
      </w:r>
      <w:hyperlink r:id="rId8">
        <w:r>
          <w:rPr>
            <w:rStyle w:val="Hyperlink"/>
            <w:rFonts w:ascii="Times New Roman" w:hAnsi="Times New Roman"/>
            <w:b w:val="false"/>
            <w:i w:val="false"/>
            <w:color w:val="000000"/>
            <w:sz w:val="24"/>
          </w:rPr>
          <w:t>692A.104</w:t>
        </w:r>
      </w:hyperlink>
      <w:r>
        <w:rPr>
          <w:rFonts w:ascii="Times New Roman" w:hAnsi="Times New Roman"/>
          <w:b w:val="false"/>
          <w:i w:val="false"/>
          <w:color w:val="000000"/>
          <w:sz w:val="24"/>
        </w:rPr>
        <w:t>, on behalf of each offender and submitted, in printed or electronic form, to the sheriff of each county in which the offender will be residing, employed, or attending classes and to the division of criminal investigation, in order to satisfy the registration requirements of the Iowa sex offender registry. This form shall also be completed on behalf of each offender and submitted to the sheriff of any county in which the offender will be a student, be employed, or be engaged in a vocation on a full-time or part-time basis, to satisfy the registration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Form DCI-145, or information stored by the division of criminal investigation, shall be used to report changes to relevant information. Form DCI-145 shall be completed and submitted by the registrant to the sheriff of any county of residence each time the registrant’s relevant information changes. Form DCI-145 shall be completed and submitted by the registrant to the sheriff of the county in which the registrant is a student, an employee, or practicing a vocation on a full-time or part-time basis at an institution of higher education within three days of the registrant’s becoming a student, an employee, or engaged in a vocation at the institution of higher education. The original of each completed Form DCI-145 shall be forwarded to the division of criminal investigation by the registering agency within five days of receiving the completed form.</w:t>
      </w:r>
    </w:p>
    <w:p>
      <w:pPr>
        <w:spacing w:before="0" w:after="0" w:line="480"/>
        <w:ind w:left="120"/>
        <w:jc w:val="both"/>
      </w:pPr>
      <w:r>
        <w:rPr>
          <w:rFonts w:ascii="Times New Roman" w:hAnsi="Times New Roman"/>
          <w:b w:val="false"/>
          <w:i w:val="false"/>
          <w:color w:val="000000"/>
          <w:sz w:val="24"/>
        </w:rPr>
        <w:t>When the department receives notification that a registrant has changed residence to a location outside of Iowa, the department shall notify the registering state agency in the registrant’s new state of residence of the registrant’s name, new address, and telephone number. Upon notification of the appropriate out-of-state agency, the department shall remove the registrant from the active registry, unless the registrant continues to maintain a residence or place of employment in Iowa or attends school in Iowa. The registrant shall not be required to submit periodic verifications of address while not on the active registry. The department shall maintain the registrant’s file in the event the registrant establishes a residence in Iowa or becomes a student, becomes an employee, or practices a vocation at an institution of higher education in Iowa in the future. The department may also maintain the file for any other purpose.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Upon any submission of Form DCI-145, the form shall be accompanied by current photographs and fingerprints of the offender.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list of all registrants within a county may be provided by the division of criminal investigation to the county sheriff.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83.3(3)</w:t>
      </w:r>
      <w:r>
        <w:rPr>
          <w:rFonts w:ascii="Times New Roman" w:hAnsi="Times New Roman"/>
          <w:b w:val="false"/>
          <w:i w:val="false"/>
          <w:color w:val="000000"/>
          <w:sz w:val="24"/>
        </w:rPr>
        <w:t> </w:t>
      </w:r>
      <w:r>
        <w:rPr>
          <w:rFonts w:ascii="Times New Roman" w:hAnsi="Times New Roman"/>
          <w:b w:val="false"/>
          <w:i/>
          <w:color w:val="000000"/>
          <w:sz w:val="24"/>
        </w:rPr>
        <w:t xml:space="preserve">Periodic verification. </w:t>
      </w:r>
      <w:r>
        <w:rPr>
          <w:rFonts w:ascii="Times New Roman" w:hAnsi="Times New Roman"/>
          <w:b w:val="false"/>
          <w:i w:val="false"/>
          <w:color w:val="000000"/>
          <w:sz w:val="24"/>
        </w:rPr>
        <w:t xml:space="preserve">A registrant shall appear personally in the office of the sheriff of the county or counties of principal residence periodically as required by Iowa Code section </w:t>
      </w:r>
      <w:hyperlink r:id="rId9">
        <w:r>
          <w:rPr>
            <w:rStyle w:val="Hyperlink"/>
            <w:rFonts w:ascii="Times New Roman" w:hAnsi="Times New Roman"/>
            <w:b w:val="false"/>
            <w:i w:val="false"/>
            <w:color w:val="000000"/>
            <w:sz w:val="24"/>
          </w:rPr>
          <w:t>692A.108</w:t>
        </w:r>
      </w:hyperlink>
      <w:r>
        <w:rPr>
          <w:rFonts w:ascii="Times New Roman" w:hAnsi="Times New Roman"/>
          <w:b w:val="false"/>
          <w:i w:val="false"/>
          <w:color w:val="000000"/>
          <w:sz w:val="24"/>
        </w:rPr>
        <w:t xml:space="preserve"> to verify relevant information. A tier I offender shall appear annually, or more frequently if required by the sheriff; a tier II offender shall appear every six months, or more frequently if required by the sheriff; and a tier III offender shall appear every three months, or more frequently if required by the sheriff. Form DCI-146R, Periodic Verification Notification Form, shall be mailed by the division of criminal investigation to each registrant at the last address known to the registry at least 30 days prior to each required appearance. The registrant shall appear between the first and last day of the verification month. Form DCI-146R shall clearly state that it is to be returned to the division of criminal investigation if the addressee no longer resides at the address indicated and that Iowa law prohibits its being forwarded.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Each registrant shall report to the sheriff of the county of principal residence of the registrant. The sheriff shall take a current photograph of the registrant and shall submit the photograph to the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sheriff of any county of residence of a registrant may, at any time, instruct the registrant to report to the sheriff’s office for the purpose of the taking of a current photograph. Such instructions shall be mailed to the registrant at the registrant’s current address of registration. The registrant shall report to the sheriff’s office within ten days of receiving such instructions. The sheriff shall submit the current photograph of the registrant to the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83.3(4)</w:t>
      </w:r>
      <w:r>
        <w:rPr>
          <w:rFonts w:ascii="Times New Roman" w:hAnsi="Times New Roman"/>
          <w:b w:val="false"/>
          <w:i w:val="false"/>
          <w:color w:val="000000"/>
          <w:sz w:val="24"/>
        </w:rPr>
        <w:t> </w:t>
      </w:r>
      <w:r>
        <w:rPr>
          <w:rFonts w:ascii="Times New Roman" w:hAnsi="Times New Roman"/>
          <w:b w:val="false"/>
          <w:i/>
          <w:color w:val="000000"/>
          <w:sz w:val="24"/>
        </w:rPr>
        <w:t xml:space="preserve">Updating relevant information not requiring personal appearance. </w:t>
      </w:r>
      <w:r>
        <w:rPr>
          <w:rFonts w:ascii="Times New Roman" w:hAnsi="Times New Roman"/>
          <w:b w:val="false"/>
          <w:i w:val="false"/>
          <w:color w:val="000000"/>
          <w:sz w:val="24"/>
        </w:rPr>
        <w:t>Any change in any item of relevant information other than changes of address, places of attendance as a student, places of employment, or vehicle information shall be communicated to the sheriff of the county of the registrant’s principal residence in person, by telephone, or electronically, within three days of the change occurring. Any such change shall not be deemed to be completed until the registrant has received acknowledgment from the office receiving the change in printed or electronic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83.3(5)</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determination. </w:t>
      </w:r>
      <w:r>
        <w:rPr>
          <w:rFonts w:ascii="Times New Roman" w:hAnsi="Times New Roman"/>
          <w:b w:val="false"/>
          <w:i w:val="false"/>
          <w:color w:val="000000"/>
          <w:sz w:val="24"/>
        </w:rPr>
        <w:t>Form DCI-148, Application for Determination, shall be completed by a person to initiate a request that the department review whether one or more offenses of which the person has been convicted require registration with the Iowa sex offender registry, whether the time period during which the person is required to register has expired, whether the person is exempt from the placement of information on the sex offender registry website, and the tier placement of the offender. A person who submits a completed copy of Form DCI-148 for review shall provide with it copies of any sentencing or adjudicatory orders related to each offense for which a determination of whether registration is required is being requested. The completed application (Form DCI-148) shall specify the exact grounds for the application and include a statement of any additional facts or law that the person intends to present to the department in support of the application. Failure to submit any of the required information shall constitute grounds for denial of the application. If the application sets forth an issue of fact that cannot be evaluated based upon the record of convictions, sentencing and adjudicatory orders, relevant statutory provisions, and other records provided, and is material to the determination, the commissioner may refer the matter to an administrative law judge or presiding officer for a contested case hearing.</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Filing an application for determination does not excuse a person from having to comply with any of the applicable provisions of Iowa Code chapter </w:t>
      </w:r>
      <w:hyperlink r:id="rId10">
        <w:r>
          <w:rPr>
            <w:rStyle w:val="Hyperlink"/>
            <w:rFonts w:ascii="Times New Roman" w:hAnsi="Times New Roman"/>
            <w:b w:val="false"/>
            <w:i w:val="false"/>
            <w:color w:val="000000"/>
            <w:sz w:val="24"/>
          </w:rPr>
          <w:t>692A</w:t>
        </w:r>
      </w:hyperlink>
      <w:r>
        <w:rPr>
          <w:rFonts w:ascii="Times New Roman" w:hAnsi="Times New Roman"/>
          <w:b w:val="false"/>
          <w:i w:val="false"/>
          <w:color w:val="000000"/>
          <w:sz w:val="24"/>
        </w:rPr>
        <w:t xml:space="preserve"> during the period prior to the issuance of the decision of determination.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83.3(6)</w:t>
      </w:r>
      <w:r>
        <w:rPr>
          <w:rFonts w:ascii="Times New Roman" w:hAnsi="Times New Roman"/>
          <w:b w:val="false"/>
          <w:i w:val="false"/>
          <w:color w:val="000000"/>
          <w:sz w:val="24"/>
        </w:rPr>
        <w:t> </w:t>
      </w:r>
      <w:r>
        <w:rPr>
          <w:rFonts w:ascii="Times New Roman" w:hAnsi="Times New Roman"/>
          <w:b w:val="false"/>
          <w:i/>
          <w:color w:val="000000"/>
          <w:sz w:val="24"/>
        </w:rPr>
        <w:t xml:space="preserve">Decision of determination.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Form DCI-149, Decision of Determination, shall be used by the division of criminal investigation to notify a person who has submitted an application for determination (Form DCI-148) of the results of that review. A completed Form DCI-149 shall be mailed to any person who has filed a completed Form DCI-148 within 90 days of the receipt by the division of criminal investigation of the completed Form DCI-148 and all required supporting documents. A decision of determination shall be signed by the commissioner and shall constitute final agency action for the purposes of Iowa Code chapter </w:t>
      </w:r>
      <w:hyperlink r:id="rId11">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an administrative law judge or presiding officer has been assigned to hold a hearing regarding an application for determination, the administrative law judge or presiding officer shall prepare a proposed decision of determination. The proposed decision of determination shall be reviewed by the commissioner, who may uphold or modify the proposed decision of determination and shall then sign a final decision of determination. The final decision of determination shall constitute final agency action for the purposes of Iowa Code chapter </w:t>
      </w:r>
      <w:hyperlink r:id="rId12">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83.3(7)</w:t>
      </w:r>
      <w:r>
        <w:rPr>
          <w:rFonts w:ascii="Times New Roman" w:hAnsi="Times New Roman"/>
          <w:b w:val="false"/>
          <w:i w:val="false"/>
          <w:color w:val="000000"/>
          <w:sz w:val="24"/>
        </w:rPr>
        <w:t> </w:t>
      </w:r>
      <w:r>
        <w:rPr>
          <w:rFonts w:ascii="Times New Roman" w:hAnsi="Times New Roman"/>
          <w:b w:val="false"/>
          <w:i/>
          <w:color w:val="000000"/>
          <w:sz w:val="24"/>
        </w:rPr>
        <w:t xml:space="preserve">Request for information. </w:t>
      </w:r>
      <w:r>
        <w:rPr>
          <w:rFonts w:ascii="Times New Roman" w:hAnsi="Times New Roman"/>
          <w:b w:val="false"/>
          <w:i w:val="false"/>
          <w:color w:val="000000"/>
          <w:sz w:val="24"/>
        </w:rPr>
        <w:t>Requests for information about whether a specific individual is registered shall be made to a county sheriff or local police department and may be made in person, by telephone, or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83.3(8)</w:t>
      </w:r>
      <w:r>
        <w:rPr>
          <w:rFonts w:ascii="Times New Roman" w:hAnsi="Times New Roman"/>
          <w:b w:val="false"/>
          <w:i w:val="false"/>
          <w:color w:val="000000"/>
          <w:sz w:val="24"/>
        </w:rPr>
        <w:t> </w:t>
      </w:r>
      <w:r>
        <w:rPr>
          <w:rFonts w:ascii="Times New Roman" w:hAnsi="Times New Roman"/>
          <w:b w:val="false"/>
          <w:i/>
          <w:color w:val="000000"/>
          <w:sz w:val="24"/>
        </w:rPr>
        <w:t xml:space="preserve">Confidential records. </w:t>
      </w:r>
      <w:r>
        <w:rPr>
          <w:rFonts w:ascii="Times New Roman" w:hAnsi="Times New Roman"/>
          <w:b w:val="false"/>
          <w:i w:val="false"/>
          <w:color w:val="000000"/>
          <w:sz w:val="24"/>
        </w:rPr>
        <w:t xml:space="preserve">Completed forms filled out pursuant to rules </w:t>
      </w:r>
      <w:hyperlink r:id="rId13">
        <w:r>
          <w:rPr>
            <w:rStyle w:val="Hyperlink"/>
            <w:rFonts w:ascii="Times New Roman" w:hAnsi="Times New Roman"/>
            <w:b w:val="false"/>
            <w:i w:val="false"/>
            <w:color w:val="000000"/>
            <w:sz w:val="24"/>
          </w:rPr>
          <w:t>661—83.1</w:t>
        </w:r>
      </w:hyperlink>
      <w:r>
        <w:rPr>
          <w:rFonts w:ascii="Times New Roman" w:hAnsi="Times New Roman"/>
          <w:b w:val="false"/>
          <w:i w:val="false"/>
          <w:color w:val="000000"/>
          <w:sz w:val="24"/>
        </w:rPr>
        <w:t xml:space="preserve">(692A) through </w:t>
      </w:r>
      <w:hyperlink r:id="rId14">
        <w:r>
          <w:rPr>
            <w:rStyle w:val="Hyperlink"/>
            <w:rFonts w:ascii="Times New Roman" w:hAnsi="Times New Roman"/>
            <w:b w:val="false"/>
            <w:i w:val="false"/>
            <w:color w:val="000000"/>
            <w:sz w:val="24"/>
          </w:rPr>
          <w:t>661—83.5</w:t>
        </w:r>
      </w:hyperlink>
      <w:r>
        <w:rPr>
          <w:rFonts w:ascii="Times New Roman" w:hAnsi="Times New Roman"/>
          <w:b w:val="false"/>
          <w:i w:val="false"/>
          <w:color w:val="000000"/>
          <w:sz w:val="24"/>
        </w:rPr>
        <w:t>(692A) are confidential records that shall not be released to the public.</w:t>
      </w:r>
    </w:p>
    <w:p>
      <w:pPr>
        <w:spacing w:before="0" w:after="0" w:line="480"/>
        <w:ind w:left="120"/>
        <w:jc w:val="both"/>
      </w:pPr>
      <w:r>
        <w:rPr>
          <w:rFonts w:ascii="Times New Roman" w:hAnsi="Times New Roman"/>
          <w:b/>
          <w:i w:val="false"/>
          <w:color w:val="000000"/>
          <w:sz w:val="24"/>
        </w:rPr>
        <w:t>661—83.4</w:t>
      </w:r>
      <w:r>
        <w:rPr>
          <w:rFonts w:ascii="Times New Roman" w:hAnsi="Times New Roman"/>
          <w:b/>
          <w:i w:val="false"/>
          <w:color w:val="000000"/>
          <w:sz w:val="24"/>
        </w:rPr>
        <w:t xml:space="preserve">(692A) </w:t>
      </w:r>
      <w:r>
        <w:rPr>
          <w:rFonts w:ascii="Times New Roman" w:hAnsi="Times New Roman"/>
          <w:b/>
          <w:i w:val="false"/>
          <w:color w:val="000000"/>
          <w:sz w:val="24"/>
        </w:rPr>
        <w:t xml:space="preserve">Availability of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83.4(1)</w:t>
      </w:r>
      <w:r>
        <w:rPr>
          <w:rFonts w:ascii="Times New Roman" w:hAnsi="Times New Roman"/>
          <w:b w:val="false"/>
          <w:i w:val="false"/>
          <w:color w:val="000000"/>
          <w:sz w:val="24"/>
        </w:rPr>
        <w:t> </w:t>
      </w:r>
      <w:r>
        <w:rPr>
          <w:rFonts w:ascii="Times New Roman" w:hAnsi="Times New Roman"/>
          <w:b w:val="false"/>
          <w:i/>
          <w:color w:val="000000"/>
          <w:sz w:val="24"/>
        </w:rPr>
        <w:t xml:space="preserve">Sex offender registry website. </w:t>
      </w:r>
      <w:r>
        <w:rPr>
          <w:rFonts w:ascii="Times New Roman" w:hAnsi="Times New Roman"/>
          <w:b w:val="false"/>
          <w:i w:val="false"/>
          <w:color w:val="000000"/>
          <w:sz w:val="24"/>
        </w:rPr>
        <w:t xml:space="preserve">The department shall place information regarding each registrant on the registry website (www.iowasexoffender.gov), except that information regarding any registrant for whom the sole basis of registration is a conviction or convictions for a violation or violations of Iowa Code section </w:t>
      </w:r>
      <w:hyperlink r:id="rId15">
        <w:r>
          <w:rPr>
            <w:rStyle w:val="Hyperlink"/>
            <w:rFonts w:ascii="Times New Roman" w:hAnsi="Times New Roman"/>
            <w:b w:val="false"/>
            <w:i w:val="false"/>
            <w:color w:val="000000"/>
            <w:sz w:val="24"/>
          </w:rPr>
          <w:t>709.4(1)</w:t>
        </w:r>
      </w:hyperlink>
      <w:r>
        <w:rPr>
          <w:rFonts w:ascii="Times New Roman" w:hAnsi="Times New Roman"/>
          <w:b w:val="false"/>
          <w:i/>
          <w:color w:val="000000"/>
          <w:sz w:val="24"/>
        </w:rPr>
        <w:t>“b”</w:t>
      </w:r>
      <w:r>
        <w:rPr>
          <w:rFonts w:ascii="Times New Roman" w:hAnsi="Times New Roman"/>
          <w:b w:val="false"/>
          <w:i w:val="false"/>
          <w:color w:val="000000"/>
          <w:sz w:val="24"/>
        </w:rPr>
        <w:t xml:space="preserve">(2)(d), and whose offense was committed when the offender was under 20 years of age, shall not be placed on the website. Information regarding a registrant placed on the sex offender registry website may include any relevant information allowed under Iowa Code section </w:t>
      </w:r>
      <w:hyperlink r:id="rId16">
        <w:r>
          <w:rPr>
            <w:rStyle w:val="Hyperlink"/>
            <w:rFonts w:ascii="Times New Roman" w:hAnsi="Times New Roman"/>
            <w:b w:val="false"/>
            <w:i w:val="false"/>
            <w:color w:val="000000"/>
            <w:sz w:val="24"/>
          </w:rPr>
          <w:t>692A.121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83.4(2)</w:t>
      </w:r>
      <w:r>
        <w:rPr>
          <w:rFonts w:ascii="Times New Roman" w:hAnsi="Times New Roman"/>
          <w:b w:val="false"/>
          <w:i w:val="false"/>
          <w:color w:val="000000"/>
          <w:sz w:val="24"/>
        </w:rPr>
        <w:t> </w:t>
      </w:r>
      <w:r>
        <w:rPr>
          <w:rFonts w:ascii="Times New Roman" w:hAnsi="Times New Roman"/>
          <w:b w:val="false"/>
          <w:i/>
          <w:color w:val="000000"/>
          <w:sz w:val="24"/>
        </w:rPr>
        <w:t xml:space="preserve">List of registrants in county. </w:t>
      </w:r>
      <w:r>
        <w:rPr>
          <w:rFonts w:ascii="Times New Roman" w:hAnsi="Times New Roman"/>
          <w:b w:val="false"/>
          <w:i w:val="false"/>
          <w:color w:val="000000"/>
          <w:sz w:val="24"/>
        </w:rPr>
        <w:t>Any county sheriff shall provide access to the list of all registrants within the county in which the sheriff has jurisdiction to any person who requests such a list; however, records of persons protected under 18 U.S.C. Section 3521 shall not be disclosed.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83.4(3)</w:t>
      </w:r>
      <w:r>
        <w:rPr>
          <w:rFonts w:ascii="Times New Roman" w:hAnsi="Times New Roman"/>
          <w:b w:val="false"/>
          <w:i w:val="false"/>
          <w:color w:val="000000"/>
          <w:sz w:val="24"/>
        </w:rPr>
        <w:t> </w:t>
      </w:r>
      <w:r>
        <w:rPr>
          <w:rFonts w:ascii="Times New Roman" w:hAnsi="Times New Roman"/>
          <w:b w:val="false"/>
          <w:i/>
          <w:color w:val="000000"/>
          <w:sz w:val="24"/>
        </w:rPr>
        <w:t xml:space="preserve">Release of information in response to individual request. </w:t>
      </w:r>
      <w:r>
        <w:rPr>
          <w:rFonts w:ascii="Times New Roman" w:hAnsi="Times New Roman"/>
          <w:b w:val="false"/>
          <w:i w:val="false"/>
          <w:color w:val="000000"/>
          <w:sz w:val="24"/>
        </w:rPr>
        <w:t xml:space="preserve">A sheriff or police department that receives a request for information about whether a specific individual is registered or not shall inquire of the division of criminal investigation via the Iowa on-line warrants and articles (IOWA) system or the sex offender registry application (SORA) as to whether the person about whom information was requested is registered with the Iowa sex offender registry. If the division of criminal investigation notifies the sheriff or police department that the person about whom the inquiry is made is not on the registry, the sheriff or police department shall so notify the person who submitted the request. If the division of criminal investigation notifies the sheriff or police department that the person about whom the inquiry was made is a registrant with the Iowa sex offender registry, the sheriff or police department shall notify the person making the inquiry that the person about whom the inquiry was made is a registrant and may provide the requester with the relevant information allowed under Iowa Code section </w:t>
      </w:r>
      <w:hyperlink r:id="rId17">
        <w:r>
          <w:rPr>
            <w:rStyle w:val="Hyperlink"/>
            <w:rFonts w:ascii="Times New Roman" w:hAnsi="Times New Roman"/>
            <w:b w:val="false"/>
            <w:i w:val="false"/>
            <w:color w:val="000000"/>
            <w:sz w:val="24"/>
          </w:rPr>
          <w:t>692A.121</w:t>
        </w:r>
      </w:hyperlink>
      <w:r>
        <w:rPr>
          <w:rFonts w:ascii="Times New Roman" w:hAnsi="Times New Roman"/>
          <w:b w:val="false"/>
          <w:i w:val="false"/>
          <w:color w:val="000000"/>
          <w:sz w:val="24"/>
        </w:rPr>
        <w:t xml:space="preserve"> regarding the registrant.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83.4(4)</w:t>
      </w:r>
      <w:r>
        <w:rPr>
          <w:rFonts w:ascii="Times New Roman" w:hAnsi="Times New Roman"/>
          <w:b w:val="false"/>
          <w:i w:val="false"/>
          <w:color w:val="000000"/>
          <w:sz w:val="24"/>
        </w:rPr>
        <w:t> </w:t>
      </w:r>
      <w:r>
        <w:rPr>
          <w:rFonts w:ascii="Times New Roman" w:hAnsi="Times New Roman"/>
          <w:b w:val="false"/>
          <w:i/>
          <w:color w:val="000000"/>
          <w:sz w:val="24"/>
        </w:rPr>
        <w:t xml:space="preserve">Submission of information to the National Sex Offender Registry. </w:t>
      </w:r>
      <w:r>
        <w:rPr>
          <w:rFonts w:ascii="Times New Roman" w:hAnsi="Times New Roman"/>
          <w:b w:val="false"/>
          <w:i w:val="false"/>
          <w:color w:val="000000"/>
          <w:sz w:val="24"/>
        </w:rPr>
        <w:t>The division shall submit sex offender registry data as required to the National Sex Offender Registry of the Federal Bureau of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83.4(5)</w:t>
      </w:r>
      <w:r>
        <w:rPr>
          <w:rFonts w:ascii="Times New Roman" w:hAnsi="Times New Roman"/>
          <w:b w:val="false"/>
          <w:i w:val="false"/>
          <w:color w:val="000000"/>
          <w:sz w:val="24"/>
        </w:rPr>
        <w:t> </w:t>
      </w:r>
      <w:r>
        <w:rPr>
          <w:rFonts w:ascii="Times New Roman" w:hAnsi="Times New Roman"/>
          <w:b w:val="false"/>
          <w:i/>
          <w:color w:val="000000"/>
          <w:sz w:val="24"/>
        </w:rPr>
        <w:t xml:space="preserve">Single contact repository. </w:t>
      </w:r>
      <w:r>
        <w:rPr>
          <w:rFonts w:ascii="Times New Roman" w:hAnsi="Times New Roman"/>
          <w:b w:val="false"/>
          <w:i w:val="false"/>
          <w:color w:val="000000"/>
          <w:sz w:val="24"/>
        </w:rPr>
        <w:t xml:space="preserve">The division shall perform a search of the sex offender registry for information about an individual, based on a request submitted through the single contact repository established pursuant to Iowa Code section </w:t>
      </w:r>
      <w:hyperlink r:id="rId18">
        <w:r>
          <w:rPr>
            <w:rStyle w:val="Hyperlink"/>
            <w:rFonts w:ascii="Times New Roman" w:hAnsi="Times New Roman"/>
            <w:b w:val="false"/>
            <w:i w:val="false"/>
            <w:color w:val="000000"/>
            <w:sz w:val="24"/>
          </w:rPr>
          <w:t>135C.33</w:t>
        </w:r>
      </w:hyperlink>
      <w:r>
        <w:rPr>
          <w:rFonts w:ascii="Times New Roman" w:hAnsi="Times New Roman"/>
          <w:b w:val="false"/>
          <w:i w:val="false"/>
          <w:color w:val="000000"/>
          <w:sz w:val="24"/>
        </w:rPr>
        <w:t>. The information provided from the registry shall be limited to whether the identified person is registered.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83.4(6)</w:t>
      </w:r>
      <w:r>
        <w:rPr>
          <w:rFonts w:ascii="Times New Roman" w:hAnsi="Times New Roman"/>
          <w:b w:val="false"/>
          <w:i w:val="false"/>
          <w:color w:val="000000"/>
          <w:sz w:val="24"/>
        </w:rPr>
        <w:t> </w:t>
      </w:r>
      <w:r>
        <w:rPr>
          <w:rFonts w:ascii="Times New Roman" w:hAnsi="Times New Roman"/>
          <w:b w:val="false"/>
          <w:i/>
          <w:color w:val="000000"/>
          <w:sz w:val="24"/>
        </w:rPr>
        <w:t xml:space="preserve">No identification of victims. </w:t>
      </w:r>
      <w:r>
        <w:rPr>
          <w:rFonts w:ascii="Times New Roman" w:hAnsi="Times New Roman"/>
          <w:b w:val="false"/>
          <w:i w:val="false"/>
          <w:color w:val="000000"/>
          <w:sz w:val="24"/>
        </w:rPr>
        <w:t>Any release of information regarding any registrant, other than to criminal or juvenile justice agencies, shall not identify any victim of the registrant.</w:t>
      </w:r>
    </w:p>
    <w:p>
      <w:pPr>
        <w:spacing w:before="0" w:after="0" w:line="480"/>
        <w:ind w:left="120"/>
        <w:jc w:val="both"/>
      </w:pPr>
      <w:r>
        <w:rPr>
          <w:rFonts w:ascii="Times New Roman" w:hAnsi="Times New Roman"/>
          <w:b/>
          <w:i w:val="false"/>
          <w:color w:val="000000"/>
          <w:sz w:val="24"/>
        </w:rPr>
        <w:t>661—83.5</w:t>
      </w:r>
      <w:r>
        <w:rPr>
          <w:rFonts w:ascii="Times New Roman" w:hAnsi="Times New Roman"/>
          <w:b/>
          <w:i w:val="false"/>
          <w:color w:val="000000"/>
          <w:sz w:val="24"/>
        </w:rPr>
        <w:t xml:space="preserve">(692A) </w:t>
      </w:r>
      <w:r>
        <w:rPr>
          <w:rFonts w:ascii="Times New Roman" w:hAnsi="Times New Roman"/>
          <w:b/>
          <w:i w:val="false"/>
          <w:color w:val="000000"/>
          <w:sz w:val="24"/>
        </w:rPr>
        <w:t xml:space="preserve">Expungement of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83.5(1)</w:t>
      </w:r>
      <w:r>
        <w:rPr>
          <w:rFonts w:ascii="Times New Roman" w:hAnsi="Times New Roman"/>
          <w:b w:val="false"/>
          <w:i w:val="false"/>
          <w:color w:val="000000"/>
          <w:sz w:val="24"/>
        </w:rPr>
        <w:t> </w:t>
      </w:r>
      <w:r>
        <w:rPr>
          <w:rFonts w:ascii="Times New Roman" w:hAnsi="Times New Roman"/>
          <w:b w:val="false"/>
          <w:i/>
          <w:color w:val="000000"/>
          <w:sz w:val="24"/>
        </w:rPr>
        <w:t xml:space="preserve">Expungement upon reversal of conviction. </w:t>
      </w:r>
      <w:r>
        <w:rPr>
          <w:rFonts w:ascii="Times New Roman" w:hAnsi="Times New Roman"/>
          <w:b w:val="false"/>
          <w:i w:val="false"/>
          <w:color w:val="000000"/>
          <w:sz w:val="24"/>
        </w:rPr>
        <w:t>Upon receipt of a certified copy of a court order reversing a conviction that forms the basis for a registrant’s being required to register, the division of criminal investigation shall expunge the registration, provided that the registrant has been convicted of no other offense requiring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83.5(2)</w:t>
      </w:r>
      <w:r>
        <w:rPr>
          <w:rFonts w:ascii="Times New Roman" w:hAnsi="Times New Roman"/>
          <w:b w:val="false"/>
          <w:i w:val="false"/>
          <w:color w:val="000000"/>
          <w:sz w:val="24"/>
        </w:rPr>
        <w:t> </w:t>
      </w:r>
      <w:r>
        <w:rPr>
          <w:rFonts w:ascii="Times New Roman" w:hAnsi="Times New Roman"/>
          <w:b w:val="false"/>
          <w:i/>
          <w:color w:val="000000"/>
          <w:sz w:val="24"/>
        </w:rPr>
        <w:t xml:space="preserve">Expungement upon expiration of registration period. </w:t>
      </w:r>
      <w:r>
        <w:rPr>
          <w:rFonts w:ascii="Times New Roman" w:hAnsi="Times New Roman"/>
          <w:b w:val="false"/>
          <w:i w:val="false"/>
          <w:color w:val="000000"/>
          <w:sz w:val="24"/>
        </w:rPr>
        <w:t>The division of criminal investigation shall expunge a registrant’s registration upon expiration of the period during which the registrant is required to register, provided that the registrant has not subsequently been convicted of an offense that would require registration.</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9">
        <w:r>
          <w:rPr>
            <w:rStyle w:val="Hyperlink"/>
            <w:rFonts w:ascii="Times New Roman" w:hAnsi="Times New Roman"/>
            <w:b w:val="false"/>
            <w:i w:val="false"/>
            <w:color w:val="000000"/>
            <w:sz w:val="24"/>
          </w:rPr>
          <w:t>692A</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2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692A.pdf" Type="http://schemas.openxmlformats.org/officeDocument/2006/relationships/hyperlink" Id="rId6"/>
    <Relationship TargetMode="External" Target="https://www.legis.iowa.gov/docs/ico/chapter/692A.101.pdf" Type="http://schemas.openxmlformats.org/officeDocument/2006/relationships/hyperlink" Id="rId7"/>
    <Relationship TargetMode="External" Target="https://www.legis.iowa.gov/docs/ico/chapter/692A.104.pdf" Type="http://schemas.openxmlformats.org/officeDocument/2006/relationships/hyperlink" Id="rId8"/>
    <Relationship TargetMode="External" Target="https://www.legis.iowa.gov/docs/ico/chapter/692A.108.pdf" Type="http://schemas.openxmlformats.org/officeDocument/2006/relationships/hyperlink" Id="rId9"/>
    <Relationship TargetMode="External" Target="https://www.legis.iowa.gov/docs/ico/chapter/692A.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ac/rule/661.83.1.pdf" Type="http://schemas.openxmlformats.org/officeDocument/2006/relationships/hyperlink" Id="rId13"/>
    <Relationship TargetMode="External" Target="https://www.legis.iowa.gov/docs/iac/rule/661.83.5.pdf" Type="http://schemas.openxmlformats.org/officeDocument/2006/relationships/hyperlink" Id="rId14"/>
    <Relationship TargetMode="External" Target="https://www.legis.iowa.gov/docs/ico/chapter/709.4.pdf" Type="http://schemas.openxmlformats.org/officeDocument/2006/relationships/hyperlink" Id="rId15"/>
    <Relationship TargetMode="External" Target="https://www.legis.iowa.gov/docs/ico/chapter/692A.121.pdf" Type="http://schemas.openxmlformats.org/officeDocument/2006/relationships/hyperlink" Id="rId16"/>
    <Relationship TargetMode="External" Target="https://www.legis.iowa.gov/docs/ico/chapter/692A.121.pdf" Type="http://schemas.openxmlformats.org/officeDocument/2006/relationships/hyperlink" Id="rId17"/>
    <Relationship TargetMode="External" Target="https://www.legis.iowa.gov/docs/ico/chapter/135C.33.pdf" Type="http://schemas.openxmlformats.org/officeDocument/2006/relationships/hyperlink" Id="rId18"/>
    <Relationship TargetMode="External" Target="https://www.legis.iowa.gov/docs/ico/chapter/692A.pdf" Type="http://schemas.openxmlformats.org/officeDocument/2006/relationships/hyperlink" Id="rId19"/>
    <Relationship Target="footer.xml" Type="http://schemas.openxmlformats.org/officeDocument/2006/relationships/footer"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