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2D" w:id="1"/>
    <w:p>
      <w:pPr>
        <w:spacing w:before="0" w:after="0" w:line="480"/>
        <w:ind w:left="120"/>
        <w:jc w:val="right"/>
      </w:pPr>
      <w:r>
        <w:rPr>
          <w:rFonts w:ascii="Times New Roman" w:hAnsi="Times New Roman"/>
          <w:b/>
          <w:i w:val="false"/>
          <w:color w:val="000000"/>
          <w:sz w:val="28"/>
        </w:rPr>
        <w:t>ARC 0642D</w:t>
      </w:r>
    </w:p>
    <w:bookmarkEnd w:id="1"/>
    <w:p>
      <w:pPr>
        <w:pBdr>
          <w:top w:space="5"/>
        </w:pBdr>
        <w:spacing w:before="0" w:after="0" w:line="480"/>
        <w:ind w:left="120"/>
        <w:jc w:val="center"/>
      </w:pPr>
      <w:r>
        <w:rPr>
          <w:rFonts w:ascii="Times New Roman" w:hAnsi="Times New Roman"/>
          <w:b/>
          <w:i w:val="false"/>
          <w:color w:val="000000"/>
          <w:sz w:val="28"/>
        </w:rPr>
        <w:t>CHIEF INFORMATION OFFICER, OFFICE OF THE[129]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Office of the Chief Information Officer (OCIO) hereby proposes to rescind Chapter 8, “Information Technology Governance,” Chapter 10, “Procurement of Information Technology,” Chapter 20, “Broadband Infrastructure—Targeted Service Areas,” Chapter 21, “Broadband Infrastructure—Project Certification,” and Chapter 22, “Broadband Grants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8.5(7)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OCIO is now consolidated into the Department of Management (DOM). Chapters 8, 10, 20, 21, and 22, concerning governance of information technology, procurement of information technology, and the broadband grant program, are no longer necessary and can be rescinded. Replacement rules will be drafted to the extent required by law. In addition, the DOM intends to implement agency policy to address numerous issues addressed by this rulemaking.</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31,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OCIO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OCIO no later than 4:30 p.m. on November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7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Brad Horn </w:t>
            </w:r>
            <w:r>
              <w:br/>
            </w:r>
            <w:r>
              <w:rPr>
                <w:rFonts w:ascii="Times New Roman" w:hAnsi="Times New Roman"/>
                <w:b w:val="false"/>
                <w:i w:val="false"/>
                <w:color w:val="000000"/>
                <w:sz w:val="14"/>
              </w:rPr>
              <w:t xml:space="preserve">Office of the Chief Information Officer </w:t>
            </w:r>
            <w:r>
              <w:br/>
            </w:r>
            <w:r>
              <w:rPr>
                <w:rFonts w:ascii="Times New Roman" w:hAnsi="Times New Roman"/>
                <w:b w:val="false"/>
                <w:i w:val="false"/>
                <w:color w:val="000000"/>
                <w:sz w:val="14"/>
              </w:rPr>
              <w:t>Room G13</w:t>
            </w:r>
            <w:r>
              <w:br/>
            </w:r>
            <w:r>
              <w:rPr>
                <w:rFonts w:ascii="Times New Roman" w:hAnsi="Times New Roman"/>
                <w:b w:val="false"/>
                <w:i w:val="false"/>
                <w:color w:val="000000"/>
                <w:sz w:val="14"/>
              </w:rPr>
              <w:t>1007 East Grand Avenue</w:t>
            </w:r>
            <w:r>
              <w:br/>
            </w:r>
            <w:r>
              <w:rPr>
                <w:rFonts w:ascii="Times New Roman" w:hAnsi="Times New Roman"/>
                <w:b w:val="false"/>
                <w:i w:val="false"/>
                <w:color w:val="000000"/>
                <w:sz w:val="14"/>
              </w:rPr>
              <w:t>Iowa State Capitol</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515.414.6187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brad.horn@dom.iowa.gov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G13</w:t>
            </w:r>
            <w:r>
              <w:br/>
            </w:r>
            <w:r>
              <w:rPr>
                <w:rFonts w:ascii="Times New Roman" w:hAnsi="Times New Roman"/>
                <w:b w:val="false"/>
                <w:i w:val="false"/>
                <w:color w:val="000000"/>
                <w:sz w:val="14"/>
              </w:rPr>
              <w:t>Iowa State Capitol</w:t>
            </w:r>
            <w:r>
              <w:br/>
            </w:r>
            <w:r>
              <w:rPr>
                <w:rFonts w:ascii="Times New Roman" w:hAnsi="Times New Roman"/>
                <w:b w:val="false"/>
                <w:i w:val="false"/>
                <w:color w:val="000000"/>
                <w:sz w:val="14"/>
              </w:rPr>
              <w:t>Des Moines, Iowa</w:t>
            </w:r>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6, 2026</w:t>
            </w:r>
            <w:r>
              <w:br/>
            </w:r>
            <w:r>
              <w:rPr>
                <w:rFonts w:ascii="Times New Roman" w:hAnsi="Times New Roman"/>
                <w:b w:val="false"/>
                <w:i w:val="false"/>
                <w:color w:val="000000"/>
                <w:sz w:val="14"/>
              </w:rPr>
              <w:t xml:space="preserve">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G13</w:t>
            </w:r>
            <w:r>
              <w:br/>
            </w:r>
            <w:r>
              <w:rPr>
                <w:rFonts w:ascii="Times New Roman" w:hAnsi="Times New Roman"/>
                <w:b w:val="false"/>
                <w:i w:val="false"/>
                <w:color w:val="000000"/>
                <w:sz w:val="14"/>
              </w:rPr>
              <w:t>Iowa State Capitol</w:t>
            </w:r>
            <w:r>
              <w:br/>
            </w:r>
            <w:r>
              <w:rPr>
                <w:rFonts w:ascii="Times New Roman" w:hAnsi="Times New Roman"/>
                <w:b w:val="false"/>
                <w:i w:val="false"/>
                <w:color w:val="000000"/>
                <w:sz w:val="14"/>
              </w:rPr>
              <w:t>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OCIO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10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22</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rad.horn@dom.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