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2D" w:id="1"/>
    <w:p>
      <w:pPr>
        <w:spacing w:before="0" w:after="0" w:line="480"/>
        <w:ind w:left="120"/>
        <w:jc w:val="right"/>
      </w:pPr>
      <w:r>
        <w:rPr>
          <w:rFonts w:ascii="Times New Roman" w:hAnsi="Times New Roman"/>
          <w:b/>
          <w:i w:val="false"/>
          <w:color w:val="000000"/>
          <w:sz w:val="28"/>
        </w:rPr>
        <w:t>ARC 0632D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dangerous wild animals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77, “Dangerous Wild Animals,” Iowa Administrative Code, and to adopt a new Chapter 77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717F.2.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717F.</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77 to streamline dangerous wild animal rules by removing provisions that duplicate Iowa Code chapter 717F and retaining administrative and animal-care requirements. This proposed rulemaking retains provisions addressing notification of insurance cancellation or reduction, lifetime health and ownership records, enclosure conditions, warning signs, and relinquishment. This proposed rulemaking also requires an owner to immediately notify the Department, in addition to an animal warden or other local law enforcement official, when a dangerous wild animal escapes and updates the euthanasia reference to the American Veterinary Medical Association’s 2020 guidelines. These changes are intended to reduce repetition and clarify responsibilities for animal care and public safety.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77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77</w:t>
      </w:r>
    </w:p>
    <w:p>
      <w:pPr>
        <w:spacing w:before="0" w:after="0" w:line="480"/>
        <w:ind w:left="120"/>
        <w:jc w:val="center"/>
      </w:pPr>
      <w:r>
        <w:rPr>
          <w:rFonts w:ascii="Times New Roman" w:hAnsi="Times New Roman"/>
          <w:b w:val="false"/>
          <w:i w:val="false"/>
          <w:color w:val="000000"/>
          <w:sz w:val="21"/>
        </w:rPr>
        <w:t>DANGEROUS WILD ANIMALS</w:t>
      </w:r>
    </w:p>
    <w:p>
      <w:pPr>
        <w:spacing w:before="0" w:after="0" w:line="480"/>
        <w:ind w:left="120"/>
        <w:jc w:val="both"/>
      </w:pPr>
      <w:r>
        <w:rPr>
          <w:rFonts w:ascii="Times New Roman" w:hAnsi="Times New Roman"/>
          <w:b/>
          <w:i w:val="false"/>
          <w:color w:val="000000"/>
          <w:sz w:val="24"/>
        </w:rPr>
        <w:t>21—77.1</w:t>
      </w:r>
      <w:r>
        <w:rPr>
          <w:rFonts w:ascii="Times New Roman" w:hAnsi="Times New Roman"/>
          <w:b/>
          <w:i w:val="false"/>
          <w:color w:val="000000"/>
          <w:sz w:val="24"/>
        </w:rPr>
        <w:t xml:space="preserve">(717F) </w:t>
      </w:r>
      <w:r>
        <w:rPr>
          <w:rFonts w:ascii="Times New Roman" w:hAnsi="Times New Roman"/>
          <w:b/>
          <w:i w:val="false"/>
          <w:color w:val="000000"/>
          <w:sz w:val="24"/>
        </w:rPr>
        <w:t xml:space="preserve">Continued ownership.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77.1(1)</w:t>
      </w:r>
      <w:r>
        <w:rPr>
          <w:rFonts w:ascii="Times New Roman" w:hAnsi="Times New Roman"/>
          <w:b w:val="false"/>
          <w:i w:val="false"/>
          <w:color w:val="000000"/>
          <w:sz w:val="24"/>
        </w:rPr>
        <w:t> </w:t>
      </w:r>
      <w:r>
        <w:rPr>
          <w:rFonts w:ascii="Times New Roman" w:hAnsi="Times New Roman"/>
          <w:b w:val="false"/>
          <w:i/>
          <w:color w:val="000000"/>
          <w:sz w:val="24"/>
        </w:rPr>
        <w:t xml:space="preserve">Insurance. </w:t>
      </w:r>
      <w:r>
        <w:rPr>
          <w:rFonts w:ascii="Times New Roman" w:hAnsi="Times New Roman"/>
          <w:b w:val="false"/>
          <w:i w:val="false"/>
          <w:color w:val="000000"/>
          <w:sz w:val="24"/>
        </w:rPr>
        <w:t>The contents of the insurance policy must provide for notification to the department if the policy is canceled or reduced.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77.1(2)</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The person who continues to own or possess a dangerous wild animal must maintain health and ownership records for the dangerous wild animal for the life of the animal, including deaths and cause of each death; the complete name, address and telephone number of the person to whom an animal was transferred or sold; the date the animal was transferred or sold; and the current location of each animal’s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77.1(3)</w:t>
      </w:r>
      <w:r>
        <w:rPr>
          <w:rFonts w:ascii="Times New Roman" w:hAnsi="Times New Roman"/>
          <w:b w:val="false"/>
          <w:i w:val="false"/>
          <w:color w:val="000000"/>
          <w:sz w:val="24"/>
        </w:rPr>
        <w:t> </w:t>
      </w:r>
      <w:r>
        <w:rPr>
          <w:rFonts w:ascii="Times New Roman" w:hAnsi="Times New Roman"/>
          <w:b w:val="false"/>
          <w:i/>
          <w:color w:val="000000"/>
          <w:sz w:val="24"/>
        </w:rPr>
        <w:t xml:space="preserve">Enclosure. </w:t>
      </w:r>
      <w:r>
        <w:rPr>
          <w:rFonts w:ascii="Times New Roman" w:hAnsi="Times New Roman"/>
          <w:b w:val="false"/>
          <w:i w:val="false"/>
          <w:color w:val="000000"/>
          <w:sz w:val="24"/>
        </w:rPr>
        <w:t>The person who continues to own or possess a dangerous wild animal must confine the dangerous wild animal in a primary enclosure on the person’s premises. The primary enclosure should be of sound construction and maintained in good repair to protect the animal from injury. Construction materials and maintenance shall allow the animal to be kept clean. The animal should be housed or caged in a manner that allows the animal to perform the normal behavior patterns of its species and prevents disease, liberation, or accidental injury to the animal and the public. The animal should have adequate food, shelter, ventilation, and lighting for its species. Appropriate sanitation measures must be taken. Food supplies and bedding materials must be adequate, appropriate, and sanitary. Equipment must be available for the removal and disposal of waste materials to minimize vermin infestation, odors, and disease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77.1(4)</w:t>
      </w:r>
      <w:r>
        <w:rPr>
          <w:rFonts w:ascii="Times New Roman" w:hAnsi="Times New Roman"/>
          <w:b w:val="false"/>
          <w:i w:val="false"/>
          <w:color w:val="000000"/>
          <w:sz w:val="24"/>
        </w:rPr>
        <w:t> </w:t>
      </w:r>
      <w:r>
        <w:rPr>
          <w:rFonts w:ascii="Times New Roman" w:hAnsi="Times New Roman"/>
          <w:b w:val="false"/>
          <w:i/>
          <w:color w:val="000000"/>
          <w:sz w:val="24"/>
        </w:rPr>
        <w:t xml:space="preserve">Signs. </w:t>
      </w:r>
      <w:r>
        <w:rPr>
          <w:rFonts w:ascii="Times New Roman" w:hAnsi="Times New Roman"/>
          <w:b w:val="false"/>
          <w:i w:val="false"/>
          <w:color w:val="000000"/>
          <w:sz w:val="24"/>
        </w:rPr>
        <w:t>The person who continues to own or possess a dangerous wild animal must display at least one visible, readable sign with suitable wording on the person’s premises where the dangerous wild animal is kept warning the public that the dangerous wild animal is confined there.</w:t>
      </w:r>
    </w:p>
    <w:p>
      <w:pPr>
        <w:spacing w:before="210" w:after="0" w:line="480"/>
        <w:ind w:left="120"/>
        <w:jc w:val="both"/>
      </w:pPr>
      <w:r>
        <w:rPr>
          <w:rFonts w:ascii="Times New Roman" w:hAnsi="Times New Roman"/>
          <w:b/>
          <w:i w:val="false"/>
          <w:color w:val="000000"/>
          <w:sz w:val="24"/>
        </w:rPr>
        <w:t>21—77.2</w:t>
      </w:r>
      <w:r>
        <w:rPr>
          <w:rFonts w:ascii="Times New Roman" w:hAnsi="Times New Roman"/>
          <w:b/>
          <w:i w:val="false"/>
          <w:color w:val="000000"/>
          <w:sz w:val="24"/>
        </w:rPr>
        <w:t xml:space="preserve">(717F) </w:t>
      </w:r>
      <w:r>
        <w:rPr>
          <w:rFonts w:ascii="Times New Roman" w:hAnsi="Times New Roman"/>
          <w:b/>
          <w:i w:val="false"/>
          <w:color w:val="000000"/>
          <w:sz w:val="24"/>
        </w:rPr>
        <w:t xml:space="preserve">Escape notification. </w:t>
      </w:r>
      <w:r>
        <w:rPr>
          <w:rFonts w:ascii="Times New Roman" w:hAnsi="Times New Roman"/>
          <w:b w:val="false"/>
          <w:i w:val="false"/>
          <w:color w:val="000000"/>
          <w:sz w:val="24"/>
        </w:rPr>
        <w:t>The person who continues to own or possess a dangerous wild animal must immediately notify an animal warden or other local law enforcement official and the department of any escape of a dangerous wild animal.</w:t>
      </w:r>
    </w:p>
    <w:p>
      <w:pPr>
        <w:spacing w:before="0" w:after="0" w:line="480"/>
        <w:ind w:left="120"/>
        <w:jc w:val="both"/>
      </w:pPr>
      <w:r>
        <w:rPr>
          <w:rFonts w:ascii="Times New Roman" w:hAnsi="Times New Roman"/>
          <w:b/>
          <w:i w:val="false"/>
          <w:color w:val="000000"/>
          <w:sz w:val="24"/>
        </w:rPr>
        <w:t>21—77.3</w:t>
      </w:r>
      <w:r>
        <w:rPr>
          <w:rFonts w:ascii="Times New Roman" w:hAnsi="Times New Roman"/>
          <w:b/>
          <w:i w:val="false"/>
          <w:color w:val="000000"/>
          <w:sz w:val="24"/>
        </w:rPr>
        <w:t xml:space="preserve">(717F) </w:t>
      </w:r>
      <w:r>
        <w:rPr>
          <w:rFonts w:ascii="Times New Roman" w:hAnsi="Times New Roman"/>
          <w:b/>
          <w:i w:val="false"/>
          <w:color w:val="000000"/>
          <w:sz w:val="24"/>
        </w:rPr>
        <w:t xml:space="preserve">Relinquishment. </w:t>
      </w:r>
      <w:r>
        <w:rPr>
          <w:rFonts w:ascii="Times New Roman" w:hAnsi="Times New Roman"/>
          <w:b w:val="false"/>
          <w:i w:val="false"/>
          <w:color w:val="000000"/>
          <w:sz w:val="24"/>
        </w:rPr>
        <w:t>If the person who continues to own or possess a dangerous wild animal is no longer able to care for the animal, both of the following shall apply: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person must so notify the department, stating the planned disposition of the dangerous wild animal.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person must dispose of the dangerous wild animal by transferring ownership and possession to a wildlife sanctuary or providing for its destruction by euthanasia according to the American Veterinary Medical Association Guidelines for Euthanasia of Animals: 2020 Edition.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
        <w:r>
          <w:rPr>
            <w:rStyle w:val="Hyperlink"/>
            <w:rFonts w:ascii="Times New Roman" w:hAnsi="Times New Roman"/>
            <w:b w:val="false"/>
            <w:i w:val="false"/>
            <w:color w:val="000000"/>
            <w:sz w:val="24"/>
          </w:rPr>
          <w:t>717F</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717F.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