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27D" w:id="1"/>
    <w:p>
      <w:pPr>
        <w:spacing w:before="0" w:after="0" w:line="480"/>
        <w:ind w:left="120"/>
        <w:jc w:val="right"/>
      </w:pPr>
      <w:r>
        <w:rPr>
          <w:rFonts w:ascii="Times New Roman" w:hAnsi="Times New Roman"/>
          <w:b/>
          <w:i w:val="false"/>
          <w:color w:val="000000"/>
          <w:sz w:val="28"/>
        </w:rPr>
        <w:t>ARC 0627D</w:t>
      </w:r>
    </w:p>
    <w:bookmarkEnd w:id="1"/>
    <w:p>
      <w:pPr>
        <w:pBdr>
          <w:top w:space="5"/>
        </w:pBdr>
        <w:spacing w:before="0" w:after="0" w:line="480"/>
        <w:ind w:left="120"/>
        <w:jc w:val="center"/>
      </w:pPr>
      <w:r>
        <w:rPr>
          <w:rFonts w:ascii="Times New Roman" w:hAnsi="Times New Roman"/>
          <w:b/>
          <w:i w:val="false"/>
          <w:color w:val="000000"/>
          <w:sz w:val="28"/>
        </w:rPr>
        <w:t>UTILITIES COMMISSION[199]</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restoration of agriculture lands during electric transmission line construction and electric lines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Utilities Commission hereby proposes to adopt a new Chapter 8, “Restoration of Agricultural Lands During Electric Transmission Line Construction,” and to amend Chapter 11, “Electric Lines,”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478.</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478.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The purpose of this proposed rulemaking is to establish standards consistent with 2026 Iowa Acts, House File 2227, which was signed into law by Governor Reynolds on April 16, 2026. This legislation enacts new Iowa Code section 478.34, which establishes that electric transmission lines approved on or after July 1, 2024, by a federally registered planning authority’s transmission plan with costs allocated regionally are required to have a land restoration plan approved by the Commission. All references to Iowa Code section 478.34 in the proposed text are to that section as enacted by 2026 Iowa Acts, House File 2227. The Commission issued an order commencing rulemaking on September 8, 2026. The order is available on the Commission’s electronic filing system, </w:t>
      </w:r>
      <w:hyperlink r:id="rId4">
        <w:r>
          <w:rPr>
            <w:rStyle w:val="Hyperlink"/>
            <w:rFonts w:ascii="Times New Roman" w:hAnsi="Times New Roman"/>
            <w:b w:val="false"/>
            <w:i w:val="false"/>
            <w:color w:val="0000ff"/>
            <w:sz w:val="24"/>
          </w:rPr>
          <w:t>efs.iowa.gov</w:t>
        </w:r>
      </w:hyperlink>
      <w:r>
        <w:rPr>
          <w:rFonts w:ascii="Times New Roman" w:hAnsi="Times New Roman"/>
          <w:b w:val="false"/>
          <w:i w:val="false"/>
          <w:color w:val="000000"/>
          <w:sz w:val="24"/>
        </w:rPr>
        <w:t>, under Docket No. RMU-2026-0008.</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Commission for a waiver of the discretionary provisions, if any, pursuant to 7—Chapter 2506.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Commission no later than 4:30 p.m. on January 5, 2027.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645"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IT Support </w:t>
            </w:r>
            <w:r>
              <w:br/>
            </w:r>
            <w:r>
              <w:rPr>
                <w:rFonts w:ascii="Times New Roman" w:hAnsi="Times New Roman"/>
                <w:b w:val="false"/>
                <w:i w:val="false"/>
                <w:color w:val="000000"/>
                <w:sz w:val="14"/>
              </w:rPr>
              <w:t xml:space="preserve">Iowa Utilities Commission </w:t>
            </w:r>
            <w:r>
              <w:br/>
            </w:r>
            <w:r>
              <w:rPr>
                <w:rFonts w:ascii="Times New Roman" w:hAnsi="Times New Roman"/>
                <w:b w:val="false"/>
                <w:i w:val="false"/>
                <w:color w:val="000000"/>
                <w:sz w:val="14"/>
              </w:rPr>
              <w:t xml:space="preserve">Phone: 515.725.7300 </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ITSupport@iuc.iowa.gov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January 5, 2027</w:t>
            </w:r>
            <w:r>
              <w:br/>
            </w:r>
            <w:r>
              <w:rPr>
                <w:rFonts w:ascii="Times New Roman" w:hAnsi="Times New Roman"/>
                <w:b w:val="false"/>
                <w:i w:val="false"/>
                <w:color w:val="000000"/>
                <w:sz w:val="14"/>
              </w:rPr>
              <w:t xml:space="preserve"> 9 to 11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Commission Hearing Room</w:t>
            </w:r>
            <w:r>
              <w:br/>
            </w:r>
            <w:r>
              <w:rPr>
                <w:rFonts w:ascii="Times New Roman" w:hAnsi="Times New Roman"/>
                <w:b w:val="false"/>
                <w:i w:val="false"/>
                <w:color w:val="000000"/>
                <w:sz w:val="14"/>
              </w:rPr>
              <w:t xml:space="preserve"> 1375 East Court Avenue</w:t>
            </w:r>
            <w:r>
              <w:br/>
            </w:r>
            <w:r>
              <w:rPr>
                <w:rFonts w:ascii="Times New Roman" w:hAnsi="Times New Roman"/>
                <w:b w:val="false"/>
                <w:i w:val="false"/>
                <w:color w:val="000000"/>
                <w:sz w:val="14"/>
              </w:rPr>
              <w:t xml:space="preserve"> Des Moines, Iowa</w:t>
            </w:r>
            <w:r>
              <w:br/>
            </w:r>
            <w:r>
              <w:rPr>
                <w:rFonts w:ascii="Times New Roman" w:hAnsi="Times New Roman"/>
                <w:b w:val="false"/>
                <w:i w:val="false"/>
                <w:color w:val="000000"/>
                <w:sz w:val="14"/>
              </w:rPr>
              <w:t xml:space="preserve"> Also via Zoom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Commission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199—Chapter 8</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w:t>
      </w:r>
    </w:p>
    <w:p>
      <w:pPr>
        <w:spacing w:before="0" w:after="0" w:line="480"/>
        <w:ind w:left="120"/>
        <w:jc w:val="center"/>
      </w:pPr>
      <w:r>
        <w:rPr>
          <w:rFonts w:ascii="Times New Roman" w:hAnsi="Times New Roman"/>
          <w:b w:val="false"/>
          <w:i w:val="false"/>
          <w:color w:val="000000"/>
          <w:sz w:val="21"/>
        </w:rPr>
        <w:t xml:space="preserve">RESTORATION OF AGRICULTURAL LANDS </w:t>
      </w:r>
      <w:r>
        <w:br/>
      </w:r>
      <w:r>
        <w:rPr>
          <w:rFonts w:ascii="Times New Roman" w:hAnsi="Times New Roman"/>
          <w:b w:val="false"/>
          <w:i w:val="false"/>
          <w:color w:val="000000"/>
          <w:sz w:val="21"/>
        </w:rPr>
        <w:t>DURING ELECTRIC TRANSMISSION LINE CONSTRUCTION</w:t>
      </w:r>
    </w:p>
    <w:p>
      <w:pPr>
        <w:spacing w:before="0" w:after="0" w:line="480"/>
        <w:ind w:left="120"/>
        <w:jc w:val="both"/>
      </w:pPr>
      <w:r>
        <w:rPr>
          <w:rFonts w:ascii="Times New Roman" w:hAnsi="Times New Roman"/>
          <w:b/>
          <w:i w:val="false"/>
          <w:color w:val="000000"/>
          <w:sz w:val="24"/>
        </w:rPr>
        <w:t>199—8.1</w:t>
      </w:r>
      <w:r>
        <w:rPr>
          <w:rFonts w:ascii="Times New Roman" w:hAnsi="Times New Roman"/>
          <w:b/>
          <w:i w:val="false"/>
          <w:color w:val="000000"/>
          <w:sz w:val="24"/>
        </w:rPr>
        <w:t xml:space="preserve">(478) </w:t>
      </w:r>
      <w:r>
        <w:rPr>
          <w:rFonts w:ascii="Times New Roman" w:hAnsi="Times New Roman"/>
          <w:b/>
          <w:i w:val="false"/>
          <w:color w:val="000000"/>
          <w:sz w:val="24"/>
        </w:rPr>
        <w:t xml:space="preserve">General information.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8.1(1)</w:t>
      </w:r>
      <w:r>
        <w:rPr>
          <w:rFonts w:ascii="Times New Roman" w:hAnsi="Times New Roman"/>
          <w:b w:val="false"/>
          <w:i w:val="false"/>
          <w:color w:val="000000"/>
          <w:sz w:val="24"/>
        </w:rPr>
        <w:t> </w:t>
      </w:r>
      <w:r>
        <w:rPr>
          <w:rFonts w:ascii="Times New Roman" w:hAnsi="Times New Roman"/>
          <w:b w:val="false"/>
          <w:i/>
          <w:color w:val="000000"/>
          <w:sz w:val="24"/>
        </w:rPr>
        <w:t xml:space="preserve">Authority and purpose. </w:t>
      </w:r>
      <w:r>
        <w:rPr>
          <w:rFonts w:ascii="Times New Roman" w:hAnsi="Times New Roman"/>
          <w:b w:val="false"/>
          <w:i w:val="false"/>
          <w:color w:val="000000"/>
          <w:sz w:val="24"/>
        </w:rPr>
        <w:t xml:space="preserve">Pursuant to Iowa Code section </w:t>
      </w:r>
      <w:hyperlink r:id="rId7">
        <w:r>
          <w:rPr>
            <w:rStyle w:val="Hyperlink"/>
            <w:rFonts w:ascii="Times New Roman" w:hAnsi="Times New Roman"/>
            <w:b w:val="false"/>
            <w:i w:val="false"/>
            <w:color w:val="000000"/>
            <w:sz w:val="24"/>
          </w:rPr>
          <w:t>478.34</w:t>
        </w:r>
      </w:hyperlink>
      <w:r>
        <w:rPr>
          <w:rFonts w:ascii="Times New Roman" w:hAnsi="Times New Roman"/>
          <w:b w:val="false"/>
          <w:i w:val="false"/>
          <w:color w:val="000000"/>
          <w:sz w:val="24"/>
        </w:rPr>
        <w:t xml:space="preserve">, this chapter establishes standards for the restoration of agricultural lands after the initial construction of an electric transmission line. These rules constitute the minimum standards for restoration of agricultural lands disturbed by electric transmission line construction. These rules do not apply to land located within city boundaries. When a land restoration plan is required pursuant to Iowa Code section </w:t>
      </w:r>
      <w:hyperlink r:id="rId8">
        <w:r>
          <w:rPr>
            <w:rStyle w:val="Hyperlink"/>
            <w:rFonts w:ascii="Times New Roman" w:hAnsi="Times New Roman"/>
            <w:b w:val="false"/>
            <w:i w:val="false"/>
            <w:color w:val="000000"/>
            <w:sz w:val="24"/>
          </w:rPr>
          <w:t>478.34</w:t>
        </w:r>
      </w:hyperlink>
      <w:r>
        <w:rPr>
          <w:rFonts w:ascii="Times New Roman" w:hAnsi="Times New Roman"/>
          <w:b w:val="false"/>
          <w:i w:val="false"/>
          <w:color w:val="000000"/>
          <w:sz w:val="24"/>
        </w:rPr>
        <w:t>, the commission may impose additional or more stringent standards as necessary to address issues specific to the nature and location of the particular electric transmission line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The definitions listed in Iowa Code section </w:t>
      </w:r>
      <w:hyperlink r:id="rId9">
        <w:r>
          <w:rPr>
            <w:rStyle w:val="Hyperlink"/>
            <w:rFonts w:ascii="Times New Roman" w:hAnsi="Times New Roman"/>
            <w:b w:val="false"/>
            <w:i w:val="false"/>
            <w:color w:val="000000"/>
            <w:sz w:val="24"/>
          </w:rPr>
          <w:t>478.34(1)</w:t>
        </w:r>
      </w:hyperlink>
      <w:r>
        <w:rPr>
          <w:rFonts w:ascii="Times New Roman" w:hAnsi="Times New Roman"/>
          <w:b w:val="false"/>
          <w:i w:val="false"/>
          <w:color w:val="000000"/>
          <w:sz w:val="24"/>
        </w:rPr>
        <w:t xml:space="preserve"> are incorporated herein by reference. Words and terms not otherwise defined in this chapter or Iowa Code section </w:t>
      </w:r>
      <w:hyperlink r:id="rId10">
        <w:r>
          <w:rPr>
            <w:rStyle w:val="Hyperlink"/>
            <w:rFonts w:ascii="Times New Roman" w:hAnsi="Times New Roman"/>
            <w:b w:val="false"/>
            <w:i w:val="false"/>
            <w:color w:val="000000"/>
            <w:sz w:val="24"/>
          </w:rPr>
          <w:t>478.34(1)</w:t>
        </w:r>
      </w:hyperlink>
      <w:r>
        <w:rPr>
          <w:rFonts w:ascii="Times New Roman" w:hAnsi="Times New Roman"/>
          <w:b w:val="false"/>
          <w:i w:val="false"/>
          <w:color w:val="000000"/>
          <w:sz w:val="24"/>
        </w:rPr>
        <w:t xml:space="preserve"> will have their usual meaning. For the administration and interpretation of this chapter, the following words and terms will have the following meanings: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“Agricultural land”</w:t>
      </w:r>
      <w:r>
        <w:rPr>
          <w:rFonts w:ascii="Times New Roman" w:hAnsi="Times New Roman"/>
          <w:b w:val="false"/>
          <w:i w:val="false"/>
          <w:color w:val="000000"/>
          <w:sz w:val="24"/>
        </w:rPr>
        <w:t> </w:t>
      </w:r>
      <w:r>
        <w:rPr>
          <w:rFonts w:ascii="Times New Roman" w:hAnsi="Times New Roman"/>
          <w:b w:val="false"/>
          <w:i w:val="false"/>
          <w:color w:val="000000"/>
          <w:sz w:val="24"/>
        </w:rPr>
        <w:t>means any land devoted to agricultural use, including but not limited to land used for crop production, cleared land capable of being cultivated, hay land, pasture land, managed woodlands and woodlands of commercial value, truck gardens, farmsteads, commercial agricultural-related facilities, feedlots, rangeland, livestock confinement systems, land on which farm buildings are located, and land used to implement management practices and structures for the improvement or conservation of soil, water, air, and related plant and animal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“Drainage structures”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“underground improvements”</w:t>
      </w:r>
      <w:r>
        <w:rPr>
          <w:rFonts w:ascii="Times New Roman" w:hAnsi="Times New Roman"/>
          <w:b w:val="false"/>
          <w:i w:val="false"/>
          <w:color w:val="000000"/>
          <w:sz w:val="24"/>
        </w:rPr>
        <w:t> </w:t>
      </w:r>
      <w:r>
        <w:rPr>
          <w:rFonts w:ascii="Times New Roman" w:hAnsi="Times New Roman"/>
          <w:b w:val="false"/>
          <w:i w:val="false"/>
          <w:color w:val="000000"/>
          <w:sz w:val="24"/>
        </w:rPr>
        <w:t>means any permanent structure used for draining agricultural lands, including tile systems and buried terrace outlets.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“Electric transmission line construction”</w:t>
      </w:r>
      <w:r>
        <w:rPr>
          <w:rFonts w:ascii="Times New Roman" w:hAnsi="Times New Roman"/>
          <w:b w:val="false"/>
          <w:i w:val="false"/>
          <w:color w:val="000000"/>
          <w:sz w:val="24"/>
        </w:rPr>
        <w:t> </w:t>
      </w:r>
      <w:r>
        <w:rPr>
          <w:rFonts w:ascii="Times New Roman" w:hAnsi="Times New Roman"/>
          <w:b w:val="false"/>
          <w:i w:val="false"/>
          <w:color w:val="000000"/>
          <w:sz w:val="24"/>
        </w:rPr>
        <w:t>means activity associated with installation of an electric transmission line that disturbs agricultural land but does not include work performed during an emergency or tree clearing completed on land under easement with written approval from the landowner.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“Electric transmission line structure”</w:t>
      </w:r>
      <w:r>
        <w:rPr>
          <w:rFonts w:ascii="Times New Roman" w:hAnsi="Times New Roman"/>
          <w:b w:val="false"/>
          <w:i w:val="false"/>
          <w:color w:val="000000"/>
          <w:sz w:val="24"/>
        </w:rPr>
        <w:t> </w:t>
      </w:r>
      <w:r>
        <w:rPr>
          <w:rFonts w:ascii="Times New Roman" w:hAnsi="Times New Roman"/>
          <w:b w:val="false"/>
          <w:i w:val="false"/>
          <w:color w:val="000000"/>
          <w:sz w:val="24"/>
        </w:rPr>
        <w:t>means any foundation, pole, or other apparatus necessary for the installation or support of an electric transmission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“Emergency”</w:t>
      </w:r>
      <w:r>
        <w:rPr>
          <w:rFonts w:ascii="Times New Roman" w:hAnsi="Times New Roman"/>
          <w:b w:val="false"/>
          <w:i w:val="false"/>
          <w:color w:val="000000"/>
          <w:sz w:val="24"/>
        </w:rPr>
        <w:t> </w:t>
      </w:r>
      <w:r>
        <w:rPr>
          <w:rFonts w:ascii="Times New Roman" w:hAnsi="Times New Roman"/>
          <w:b w:val="false"/>
          <w:i w:val="false"/>
          <w:color w:val="000000"/>
          <w:sz w:val="24"/>
        </w:rPr>
        <w:t>means a condition involving clear and immediate danger to life, health, or essential services or a risk of a potentially significant loss of property. When the emergency condition ends, electric transmission line construction shall be in accordance with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“Soil conservation practices”</w:t>
      </w:r>
      <w:r>
        <w:rPr>
          <w:rFonts w:ascii="Times New Roman" w:hAnsi="Times New Roman"/>
          <w:b w:val="false"/>
          <w:i w:val="false"/>
          <w:color w:val="000000"/>
          <w:sz w:val="24"/>
        </w:rPr>
        <w:t> </w:t>
      </w:r>
      <w:r>
        <w:rPr>
          <w:rFonts w:ascii="Times New Roman" w:hAnsi="Times New Roman"/>
          <w:b w:val="false"/>
          <w:i w:val="false"/>
          <w:color w:val="000000"/>
          <w:sz w:val="24"/>
        </w:rPr>
        <w:t>means any land conservation practice recognized by federal or state soil conservation agencies, including but not limited to grasslands and grassed waterways, hay land planting, pasture, and tree plantings.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“Soil conservation structures”</w:t>
      </w:r>
      <w:r>
        <w:rPr>
          <w:rFonts w:ascii="Times New Roman" w:hAnsi="Times New Roman"/>
          <w:b w:val="false"/>
          <w:i w:val="false"/>
          <w:color w:val="000000"/>
          <w:sz w:val="24"/>
        </w:rPr>
        <w:t> </w:t>
      </w:r>
      <w:r>
        <w:rPr>
          <w:rFonts w:ascii="Times New Roman" w:hAnsi="Times New Roman"/>
          <w:b w:val="false"/>
          <w:i w:val="false"/>
          <w:color w:val="000000"/>
          <w:sz w:val="24"/>
        </w:rPr>
        <w:t>means any permanent structure recognized by federal or state soil conservation agencies, including but not limited to toe walls, drop inlets, grade control works, terraces, levees, and farm ponds.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“Solid waste”</w:t>
      </w:r>
      <w:r>
        <w:rPr>
          <w:rFonts w:ascii="Times New Roman" w:hAnsi="Times New Roman"/>
          <w:b w:val="false"/>
          <w:i w:val="false"/>
          <w:color w:val="000000"/>
          <w:sz w:val="24"/>
        </w:rPr>
        <w:t> </w:t>
      </w:r>
      <w:r>
        <w:rPr>
          <w:rFonts w:ascii="Times New Roman" w:hAnsi="Times New Roman"/>
          <w:b w:val="false"/>
          <w:i w:val="false"/>
          <w:color w:val="000000"/>
          <w:sz w:val="24"/>
        </w:rPr>
        <w:t>means any debris, garbage, refuse, rubbish, and other similar discarded solid or semisolid materials, including but not limited to such materials resulting from electric transmission line construction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“Subsoil”</w:t>
      </w:r>
      <w:r>
        <w:rPr>
          <w:rFonts w:ascii="Times New Roman" w:hAnsi="Times New Roman"/>
          <w:b w:val="false"/>
          <w:i w:val="false"/>
          <w:color w:val="000000"/>
          <w:sz w:val="24"/>
        </w:rPr>
        <w:t> </w:t>
      </w:r>
      <w:r>
        <w:rPr>
          <w:rFonts w:ascii="Times New Roman" w:hAnsi="Times New Roman"/>
          <w:b w:val="false"/>
          <w:i w:val="false"/>
          <w:color w:val="000000"/>
          <w:sz w:val="24"/>
        </w:rPr>
        <w:t>means the soil horizons beneath the topsoil.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“Surface drains”</w:t>
      </w:r>
      <w:r>
        <w:rPr>
          <w:rFonts w:ascii="Times New Roman" w:hAnsi="Times New Roman"/>
          <w:b w:val="false"/>
          <w:i w:val="false"/>
          <w:color w:val="000000"/>
          <w:sz w:val="24"/>
        </w:rPr>
        <w:t> </w:t>
      </w:r>
      <w:r>
        <w:rPr>
          <w:rFonts w:ascii="Times New Roman" w:hAnsi="Times New Roman"/>
          <w:b w:val="false"/>
          <w:i w:val="false"/>
          <w:color w:val="000000"/>
          <w:sz w:val="24"/>
        </w:rPr>
        <w:t>means any surface drainage system, such as shallow surface field drains, grassed waterways, open ditches, or any other conveyance of surface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“Till”</w:t>
      </w:r>
      <w:r>
        <w:rPr>
          <w:rFonts w:ascii="Times New Roman" w:hAnsi="Times New Roman"/>
          <w:b w:val="false"/>
          <w:i w:val="false"/>
          <w:color w:val="000000"/>
          <w:sz w:val="24"/>
        </w:rPr>
        <w:t> </w:t>
      </w:r>
      <w:r>
        <w:rPr>
          <w:rFonts w:ascii="Times New Roman" w:hAnsi="Times New Roman"/>
          <w:b w:val="false"/>
          <w:i w:val="false"/>
          <w:color w:val="000000"/>
          <w:sz w:val="24"/>
        </w:rPr>
        <w:t>means to loosen the soil in preparation for planting or seeding by plowing, chiseling, discing, or similar means. For the purposes of this chapter, agricultural land planted using no-till planting practices is also considered tilled.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“Topsoil”</w:t>
      </w:r>
      <w:r>
        <w:rPr>
          <w:rFonts w:ascii="Times New Roman" w:hAnsi="Times New Roman"/>
          <w:b w:val="false"/>
          <w:i w:val="false"/>
          <w:color w:val="000000"/>
          <w:sz w:val="24"/>
        </w:rPr>
        <w:t> </w:t>
      </w:r>
      <w:r>
        <w:rPr>
          <w:rFonts w:ascii="Times New Roman" w:hAnsi="Times New Roman"/>
          <w:b w:val="false"/>
          <w:i w:val="false"/>
          <w:color w:val="000000"/>
          <w:sz w:val="24"/>
        </w:rPr>
        <w:t>means the uppermost layer of the soil with the darkest color or the highest content of organic matter, generally referred to as the “A” horizon. In areas where the “A” horizon is determined to be less than 12 inches, the topsoil depth shall include both the “A” and the “Bw” horizons as determined by the March 2017 United States Department of Agriculture Soil Survey Manual. Topsoil depth is to be determined prior to soil disruption.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“Wet conditions”</w:t>
      </w:r>
      <w:r>
        <w:rPr>
          <w:rFonts w:ascii="Times New Roman" w:hAnsi="Times New Roman"/>
          <w:b w:val="false"/>
          <w:i w:val="false"/>
          <w:color w:val="000000"/>
          <w:sz w:val="24"/>
        </w:rPr>
        <w:t> </w:t>
      </w:r>
      <w:r>
        <w:rPr>
          <w:rFonts w:ascii="Times New Roman" w:hAnsi="Times New Roman"/>
          <w:b w:val="false"/>
          <w:i w:val="false"/>
          <w:color w:val="000000"/>
          <w:sz w:val="24"/>
        </w:rPr>
        <w:t>means adverse soil conditions due to rain events, antecedent moisture, or ponded water, where the passage of construction equipment may cause rutting that mixes topsoil and subsoil, may prevent the effective removal or replacement of topsoil and subsoil, may prevent proper decompaction, or may damage underground tile lines. The ball test, the ribbon test, the amount of standing water within the easement, or other credible evaluation methods may be used to determine whether adverse soil conditions are present.</w:t>
      </w:r>
    </w:p>
    <w:p>
      <w:pPr>
        <w:spacing w:before="0" w:after="0" w:line="480"/>
        <w:ind w:left="120"/>
        <w:jc w:val="both"/>
      </w:pPr>
      <w:r>
        <w:rPr>
          <w:rFonts w:ascii="Times New Roman" w:hAnsi="Times New Roman"/>
          <w:b/>
          <w:i w:val="false"/>
          <w:color w:val="000000"/>
          <w:sz w:val="24"/>
        </w:rPr>
        <w:t>199—8.2</w:t>
      </w:r>
      <w:r>
        <w:rPr>
          <w:rFonts w:ascii="Times New Roman" w:hAnsi="Times New Roman"/>
          <w:b/>
          <w:i w:val="false"/>
          <w:color w:val="000000"/>
          <w:sz w:val="24"/>
        </w:rPr>
        <w:t xml:space="preserve">(478) </w:t>
      </w:r>
      <w:r>
        <w:rPr>
          <w:rFonts w:ascii="Times New Roman" w:hAnsi="Times New Roman"/>
          <w:b/>
          <w:i w:val="false"/>
          <w:color w:val="000000"/>
          <w:sz w:val="24"/>
        </w:rPr>
        <w:t xml:space="preserve">Filing of land restoration plans. </w:t>
      </w:r>
      <w:r>
        <w:rPr>
          <w:rFonts w:ascii="Times New Roman" w:hAnsi="Times New Roman"/>
          <w:b w:val="false"/>
          <w:i w:val="false"/>
          <w:color w:val="000000"/>
          <w:sz w:val="24"/>
        </w:rPr>
        <w:t xml:space="preserve">Pursuant to Iowa Code section </w:t>
      </w:r>
      <w:hyperlink r:id="rId11">
        <w:r>
          <w:rPr>
            <w:rStyle w:val="Hyperlink"/>
            <w:rFonts w:ascii="Times New Roman" w:hAnsi="Times New Roman"/>
            <w:b w:val="false"/>
            <w:i w:val="false"/>
            <w:color w:val="000000"/>
            <w:sz w:val="24"/>
          </w:rPr>
          <w:t>478.34</w:t>
        </w:r>
      </w:hyperlink>
      <w:r>
        <w:rPr>
          <w:rFonts w:ascii="Times New Roman" w:hAnsi="Times New Roman"/>
          <w:b w:val="false"/>
          <w:i w:val="false"/>
          <w:color w:val="000000"/>
          <w:sz w:val="24"/>
        </w:rPr>
        <w:t xml:space="preserve">, a land restoration plan is required for electric transmission line construction and shall be filed with the appropriate petition and be identified as Exhibit I, consistent with </w:t>
      </w:r>
      <w:hyperlink r:id="rId12">
        <w:r>
          <w:rPr>
            <w:rStyle w:val="Hyperlink"/>
            <w:rFonts w:ascii="Times New Roman" w:hAnsi="Times New Roman"/>
            <w:b w:val="false"/>
            <w:i w:val="false"/>
            <w:color w:val="000000"/>
            <w:sz w:val="24"/>
          </w:rPr>
          <w:t>199—paragraph 11.5(1)</w:t>
        </w:r>
        <w:r>
          <w:rPr>
            <w:rFonts w:ascii="Times New Roman" w:hAnsi="Times New Roman"/>
            <w:b w:val="false"/>
            <w:i/>
            <w:color w:val="000000"/>
            <w:sz w:val="24"/>
          </w:rPr>
          <w:t>“i.”</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w:t>
      </w:r>
      <w:r>
        <w:rPr>
          <w:rFonts w:ascii="Times New Roman" w:hAnsi="Times New Roman"/>
          <w:b w:val="false"/>
          <w:i w:val="false"/>
          <w:color w:val="000000"/>
          <w:sz w:val="24"/>
        </w:rPr>
        <w:t> </w:t>
      </w:r>
      <w:r>
        <w:rPr>
          <w:rFonts w:ascii="Times New Roman" w:hAnsi="Times New Roman"/>
          <w:b w:val="false"/>
          <w:i/>
          <w:color w:val="000000"/>
          <w:sz w:val="24"/>
        </w:rPr>
        <w:t xml:space="preserve">Content of plan. </w:t>
      </w:r>
      <w:r>
        <w:rPr>
          <w:rFonts w:ascii="Times New Roman" w:hAnsi="Times New Roman"/>
          <w:b w:val="false"/>
          <w:i w:val="false"/>
          <w:color w:val="000000"/>
          <w:sz w:val="24"/>
        </w:rPr>
        <w:t>A land restoration plan shall include but not be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brief description of the purpose and nature of the electric transmission line construction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description of the sequence of events that will occur during electric transmission line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description of how the electric transmission owner will comply with rules </w:t>
      </w:r>
      <w:hyperlink r:id="rId13">
        <w:r>
          <w:rPr>
            <w:rStyle w:val="Hyperlink"/>
            <w:rFonts w:ascii="Times New Roman" w:hAnsi="Times New Roman"/>
            <w:b w:val="false"/>
            <w:i w:val="false"/>
            <w:color w:val="000000"/>
            <w:sz w:val="24"/>
          </w:rPr>
          <w:t>199—8.4</w:t>
        </w:r>
      </w:hyperlink>
      <w:r>
        <w:rPr>
          <w:rFonts w:ascii="Times New Roman" w:hAnsi="Times New Roman"/>
          <w:b w:val="false"/>
          <w:i w:val="false"/>
          <w:color w:val="000000"/>
          <w:sz w:val="24"/>
        </w:rPr>
        <w:t xml:space="preserve">(478) and </w:t>
      </w:r>
      <w:hyperlink r:id="rId14">
        <w:r>
          <w:rPr>
            <w:rStyle w:val="Hyperlink"/>
            <w:rFonts w:ascii="Times New Roman" w:hAnsi="Times New Roman"/>
            <w:b w:val="false"/>
            <w:i w:val="false"/>
            <w:color w:val="000000"/>
            <w:sz w:val="24"/>
          </w:rPr>
          <w:t>199—8.5</w:t>
        </w:r>
      </w:hyperlink>
      <w:r>
        <w:rPr>
          <w:rFonts w:ascii="Times New Roman" w:hAnsi="Times New Roman"/>
          <w:b w:val="false"/>
          <w:i w:val="false"/>
          <w:color w:val="000000"/>
          <w:sz w:val="24"/>
        </w:rPr>
        <w:t>(478).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point of contact for landowner inquiries or claims as provided for in rule </w:t>
      </w:r>
      <w:hyperlink r:id="rId15">
        <w:r>
          <w:rPr>
            <w:rStyle w:val="Hyperlink"/>
            <w:rFonts w:ascii="Times New Roman" w:hAnsi="Times New Roman"/>
            <w:b w:val="false"/>
            <w:i w:val="false"/>
            <w:color w:val="000000"/>
            <w:sz w:val="24"/>
          </w:rPr>
          <w:t>199—8.6</w:t>
        </w:r>
      </w:hyperlink>
      <w:r>
        <w:rPr>
          <w:rFonts w:ascii="Times New Roman" w:hAnsi="Times New Roman"/>
          <w:b w:val="false"/>
          <w:i w:val="false"/>
          <w:color w:val="000000"/>
          <w:sz w:val="24"/>
        </w:rPr>
        <w:t>(478).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unique identification number that follows a linearly sequential pattern on each parcel of land over which the electric transmission line will be constructed.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w:t>
      </w:r>
      <w:r>
        <w:rPr>
          <w:rFonts w:ascii="Times New Roman" w:hAnsi="Times New Roman"/>
          <w:b w:val="false"/>
          <w:i w:val="false"/>
          <w:color w:val="000000"/>
          <w:sz w:val="24"/>
        </w:rPr>
        <w:t> </w:t>
      </w:r>
      <w:r>
        <w:rPr>
          <w:rFonts w:ascii="Times New Roman" w:hAnsi="Times New Roman"/>
          <w:b w:val="false"/>
          <w:i/>
          <w:color w:val="000000"/>
          <w:sz w:val="24"/>
        </w:rPr>
        <w:t xml:space="preserve">Plan variations. </w:t>
      </w:r>
      <w:r>
        <w:rPr>
          <w:rFonts w:ascii="Times New Roman" w:hAnsi="Times New Roman"/>
          <w:b w:val="false"/>
          <w:i w:val="false"/>
          <w:color w:val="000000"/>
          <w:sz w:val="24"/>
        </w:rPr>
        <w:t xml:space="preserve">The commission may by waiver allow variations from the requirements in this chapter if the electric transmission owner requesting a waiver is able to satisfy the standards set forth in 7—Chapter </w:t>
      </w:r>
      <w:hyperlink r:id="rId16">
        <w:r>
          <w:rPr>
            <w:rStyle w:val="Hyperlink"/>
            <w:rFonts w:ascii="Times New Roman" w:hAnsi="Times New Roman"/>
            <w:b w:val="false"/>
            <w:i w:val="false"/>
            <w:color w:val="000000"/>
            <w:sz w:val="24"/>
          </w:rPr>
          <w:t>2504</w:t>
        </w:r>
      </w:hyperlink>
      <w:r>
        <w:rPr>
          <w:rFonts w:ascii="Times New Roman" w:hAnsi="Times New Roman"/>
          <w:b w:val="false"/>
          <w:i w:val="false"/>
          <w:color w:val="000000"/>
          <w:sz w:val="24"/>
        </w:rPr>
        <w:t xml:space="preserve"> and if the alternative methods proposed by the electric transmission owner would restore the land to a condition as good as or better than provided for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8.2(3)</w:t>
      </w:r>
      <w:r>
        <w:rPr>
          <w:rFonts w:ascii="Times New Roman" w:hAnsi="Times New Roman"/>
          <w:b w:val="false"/>
          <w:i w:val="false"/>
          <w:color w:val="000000"/>
          <w:sz w:val="24"/>
        </w:rPr>
        <w:t> </w:t>
      </w:r>
      <w:r>
        <w:rPr>
          <w:rFonts w:ascii="Times New Roman" w:hAnsi="Times New Roman"/>
          <w:b w:val="false"/>
          <w:i/>
          <w:color w:val="000000"/>
          <w:sz w:val="24"/>
        </w:rPr>
        <w:t xml:space="preserve">Mitigation plans and agreements. </w:t>
      </w:r>
      <w:r>
        <w:rPr>
          <w:rFonts w:ascii="Times New Roman" w:hAnsi="Times New Roman"/>
          <w:b w:val="false"/>
          <w:i w:val="false"/>
          <w:color w:val="000000"/>
          <w:sz w:val="24"/>
        </w:rPr>
        <w:t>Preparation of a separate land restoration plan may be waived by the commission where an electric transmission owner enters into an agricultural impact mitigation plan or similar agreement with the appropriate agencies of the state of Iowa that satisfies the requirements of this chapter. If a mitigation plan or agreement is used to fully or partially meet the requirements of a land restoration plan, the statement or agreement shall be filed with the commission and will be considered to be, or to be part of, the land restoration plan for purposes of this chapter.</w:t>
      </w:r>
    </w:p>
    <w:p>
      <w:pPr>
        <w:spacing w:before="0" w:after="0" w:line="480"/>
        <w:ind w:left="120"/>
        <w:jc w:val="both"/>
      </w:pPr>
      <w:r>
        <w:rPr>
          <w:rFonts w:ascii="Times New Roman" w:hAnsi="Times New Roman"/>
          <w:b/>
          <w:i w:val="false"/>
          <w:color w:val="000000"/>
          <w:sz w:val="24"/>
        </w:rPr>
        <w:t>199—8.3</w:t>
      </w:r>
      <w:r>
        <w:rPr>
          <w:rFonts w:ascii="Times New Roman" w:hAnsi="Times New Roman"/>
          <w:b/>
          <w:i w:val="false"/>
          <w:color w:val="000000"/>
          <w:sz w:val="24"/>
        </w:rPr>
        <w:t xml:space="preserve">(478) </w:t>
      </w:r>
      <w:r>
        <w:rPr>
          <w:rFonts w:ascii="Times New Roman" w:hAnsi="Times New Roman"/>
          <w:b/>
          <w:i w:val="false"/>
          <w:color w:val="000000"/>
          <w:sz w:val="24"/>
        </w:rPr>
        <w:t xml:space="preserve">Procedure for review of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w:t>
      </w:r>
      <w:r>
        <w:rPr>
          <w:rFonts w:ascii="Times New Roman" w:hAnsi="Times New Roman"/>
          <w:b w:val="false"/>
          <w:i w:val="false"/>
          <w:color w:val="000000"/>
          <w:sz w:val="24"/>
        </w:rPr>
        <w:t> </w:t>
      </w:r>
      <w:r>
        <w:rPr>
          <w:rFonts w:ascii="Times New Roman" w:hAnsi="Times New Roman"/>
          <w:b w:val="false"/>
          <w:i/>
          <w:color w:val="000000"/>
          <w:sz w:val="24"/>
        </w:rPr>
        <w:t xml:space="preserve">Timing. </w:t>
      </w:r>
      <w:r>
        <w:rPr>
          <w:rFonts w:ascii="Times New Roman" w:hAnsi="Times New Roman"/>
          <w:b w:val="false"/>
          <w:i w:val="false"/>
          <w:color w:val="000000"/>
          <w:sz w:val="24"/>
        </w:rPr>
        <w:t xml:space="preserve">The commission will review the proposed land restoration plan at the same time it reviews the petition for a new electric transmission line franchise submitted pursuant to rule </w:t>
      </w:r>
      <w:hyperlink r:id="rId17">
        <w:r>
          <w:rPr>
            <w:rStyle w:val="Hyperlink"/>
            <w:rFonts w:ascii="Times New Roman" w:hAnsi="Times New Roman"/>
            <w:b w:val="false"/>
            <w:i w:val="false"/>
            <w:color w:val="000000"/>
            <w:sz w:val="24"/>
          </w:rPr>
          <w:t>199—11.5(478)</w:t>
        </w:r>
      </w:hyperlink>
      <w:r>
        <w:rPr>
          <w:rFonts w:ascii="Times New Roman" w:hAnsi="Times New Roman"/>
          <w:b w:val="false"/>
          <w:i w:val="false"/>
          <w:color w:val="000000"/>
          <w:sz w:val="24"/>
        </w:rPr>
        <w:t>. Objections to the proposed plan may be filed as part of the franchise proceeding. The electric transmission owner shall modify the plan as determined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w:t>
      </w:r>
      <w:r>
        <w:rPr>
          <w:rFonts w:ascii="Times New Roman" w:hAnsi="Times New Roman"/>
          <w:b w:val="false"/>
          <w:i w:val="false"/>
          <w:color w:val="000000"/>
          <w:sz w:val="24"/>
        </w:rPr>
        <w:t> </w:t>
      </w:r>
      <w:r>
        <w:rPr>
          <w:rFonts w:ascii="Times New Roman" w:hAnsi="Times New Roman"/>
          <w:b w:val="false"/>
          <w:i/>
          <w:color w:val="000000"/>
          <w:sz w:val="24"/>
        </w:rPr>
        <w:t xml:space="preserve">Distributing approved plan. </w:t>
      </w:r>
      <w:r>
        <w:rPr>
          <w:rFonts w:ascii="Times New Roman" w:hAnsi="Times New Roman"/>
          <w:b w:val="false"/>
          <w:i w:val="false"/>
          <w:color w:val="000000"/>
          <w:sz w:val="24"/>
        </w:rPr>
        <w:t>After the commission has approved the plan as part of the commission’s review and approval of the petition, but prior to construction, the electric transmission owner shall provide copies of the final plan approved by the commission to all landowners.</w:t>
      </w:r>
    </w:p>
    <w:p>
      <w:pPr>
        <w:spacing w:before="0" w:after="0" w:line="480"/>
        <w:ind w:left="120"/>
        <w:jc w:val="both"/>
      </w:pPr>
      <w:r>
        <w:rPr>
          <w:rFonts w:ascii="Times New Roman" w:hAnsi="Times New Roman"/>
          <w:b/>
          <w:i w:val="false"/>
          <w:color w:val="000000"/>
          <w:sz w:val="24"/>
        </w:rPr>
        <w:t>199—8.4</w:t>
      </w:r>
      <w:r>
        <w:rPr>
          <w:rFonts w:ascii="Times New Roman" w:hAnsi="Times New Roman"/>
          <w:b/>
          <w:i w:val="false"/>
          <w:color w:val="000000"/>
          <w:sz w:val="24"/>
        </w:rPr>
        <w:t xml:space="preserve">(478) </w:t>
      </w:r>
      <w:r>
        <w:rPr>
          <w:rFonts w:ascii="Times New Roman" w:hAnsi="Times New Roman"/>
          <w:b/>
          <w:i w:val="false"/>
          <w:color w:val="000000"/>
          <w:sz w:val="24"/>
        </w:rPr>
        <w:t xml:space="preserve">Clearing of agricultural land.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8.4(1)</w:t>
      </w:r>
      <w:r>
        <w:rPr>
          <w:rFonts w:ascii="Times New Roman" w:hAnsi="Times New Roman"/>
          <w:b w:val="false"/>
          <w:i w:val="false"/>
          <w:color w:val="000000"/>
          <w:sz w:val="24"/>
        </w:rPr>
        <w:t> </w:t>
      </w:r>
      <w:r>
        <w:rPr>
          <w:rFonts w:ascii="Times New Roman" w:hAnsi="Times New Roman"/>
          <w:b w:val="false"/>
          <w:i/>
          <w:color w:val="000000"/>
          <w:sz w:val="24"/>
        </w:rPr>
        <w:t xml:space="preserve">Trees and brush. </w:t>
      </w:r>
      <w:r>
        <w:rPr>
          <w:rFonts w:ascii="Times New Roman" w:hAnsi="Times New Roman"/>
          <w:b w:val="false"/>
          <w:i w:val="false"/>
          <w:color w:val="000000"/>
          <w:sz w:val="24"/>
        </w:rPr>
        <w:t>If trees are to be removed from the easement, the electric transmission owner shall consult with the landowner to determine if there are trees of commercial or other value to the landowner.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there are trees of commercial or other value to the landowner, the electric transmission owner shall allow the landowner the right to retain ownership of the trees with the disposition of the trees to be negotiated prior to commencement of land clearing or, if the landowner does not want to retain ownership of the trees, the electric transmission owner shall hire a forester with local expertise to appraise the commercial value of any timber to be cut for construction of the electric transmission line. The electric transmission owner shall compensate the landowner for the full appraised commercial value of any timber removed. The electric transmission owner shall remove all cleared trees and debris left on or adjacent to the easement.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trees to be cleared have been determined to have no commercial or other value to the landowner and there is no negotiated agreement between the electric transmission owner and the landowner for the disposition of the trees in advance of clearing of the easement, removal and disposal of the material shall be completed at the discretion of the electric transmission 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8.4(2)</w:t>
      </w:r>
      <w:r>
        <w:rPr>
          <w:rFonts w:ascii="Times New Roman" w:hAnsi="Times New Roman"/>
          <w:b w:val="false"/>
          <w:i w:val="false"/>
          <w:color w:val="000000"/>
          <w:sz w:val="24"/>
        </w:rPr>
        <w:t> </w:t>
      </w:r>
      <w:r>
        <w:rPr>
          <w:rFonts w:ascii="Times New Roman" w:hAnsi="Times New Roman"/>
          <w:b w:val="false"/>
          <w:i/>
          <w:color w:val="000000"/>
          <w:sz w:val="24"/>
        </w:rPr>
        <w:t xml:space="preserve">Fencing. </w:t>
      </w:r>
      <w:r>
        <w:rPr>
          <w:rFonts w:ascii="Times New Roman" w:hAnsi="Times New Roman"/>
          <w:b w:val="false"/>
          <w:i w:val="false"/>
          <w:color w:val="000000"/>
          <w:sz w:val="24"/>
        </w:rPr>
        <w:t>The electric transmission owner may remove field fences and gates, located within the electric transmission line company’s easement, during clearing of the easement and shall construct temporary fences and gates where necessary. Upon completion of the electric transmission line construction, the electric transmission owner shall replace any temporary field fences or gates with permanent field fences or gates that are in the same or better condition as those present prior to construction. The electric transmission owner and landowner may negotiate separate agreements regarding field fences and gates. If livestock is present, the electric transmission owner shall construct any temporary or permanent fences and gates in a manner that will contain livestock.</w:t>
      </w:r>
    </w:p>
    <w:p>
      <w:pPr>
        <w:spacing w:before="0" w:after="0" w:line="480"/>
        <w:ind w:left="120"/>
        <w:jc w:val="both"/>
      </w:pPr>
      <w:r>
        <w:rPr>
          <w:rFonts w:ascii="Times New Roman" w:hAnsi="Times New Roman"/>
          <w:b/>
          <w:i w:val="false"/>
          <w:color w:val="000000"/>
          <w:sz w:val="24"/>
        </w:rPr>
        <w:t>199—8.5</w:t>
      </w:r>
      <w:r>
        <w:rPr>
          <w:rFonts w:ascii="Times New Roman" w:hAnsi="Times New Roman"/>
          <w:b/>
          <w:i w:val="false"/>
          <w:color w:val="000000"/>
          <w:sz w:val="24"/>
        </w:rPr>
        <w:t xml:space="preserve">(478) </w:t>
      </w:r>
      <w:r>
        <w:rPr>
          <w:rFonts w:ascii="Times New Roman" w:hAnsi="Times New Roman"/>
          <w:b/>
          <w:i w:val="false"/>
          <w:color w:val="000000"/>
          <w:sz w:val="24"/>
        </w:rPr>
        <w:t xml:space="preserve">Restoration of agricultural lands.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8.5(1)</w:t>
      </w:r>
      <w:r>
        <w:rPr>
          <w:rFonts w:ascii="Times New Roman" w:hAnsi="Times New Roman"/>
          <w:b w:val="false"/>
          <w:i w:val="false"/>
          <w:color w:val="000000"/>
          <w:sz w:val="24"/>
        </w:rPr>
        <w:t> </w:t>
      </w:r>
      <w:r>
        <w:rPr>
          <w:rFonts w:ascii="Times New Roman" w:hAnsi="Times New Roman"/>
          <w:b w:val="false"/>
          <w:i/>
          <w:color w:val="000000"/>
          <w:sz w:val="24"/>
        </w:rPr>
        <w:t xml:space="preserve">Temporary and permanent repair of drain tile.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Electric transmission line clearance from drain tile. </w:t>
      </w:r>
      <w:r>
        <w:rPr>
          <w:rFonts w:ascii="Times New Roman" w:hAnsi="Times New Roman"/>
          <w:b w:val="false"/>
          <w:i w:val="false"/>
          <w:color w:val="000000"/>
          <w:sz w:val="24"/>
        </w:rPr>
        <w:t>Where underground drain tile is encountered, the permanent tile repair shall be installed with at least 12 inches of clearance from the electric transmission line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Temporary repair. </w:t>
      </w:r>
      <w:r>
        <w:rPr>
          <w:rFonts w:ascii="Times New Roman" w:hAnsi="Times New Roman"/>
          <w:b w:val="false"/>
          <w:i w:val="false"/>
          <w:color w:val="000000"/>
          <w:sz w:val="24"/>
        </w:rPr>
        <w:t>The following standards shall be used to determine if temporary repair of agricultural drainage tile lines encountered during electric transmission line construction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underground drain tile damaged, cut, or removed and found to be flowing or that subsequently begins to flow shall be temporarily repaired as soon as practicable, and the repair shall be maintained as necessary to allow for its proper function during construction of the electric transmission line. The temporary repairs shall be maintained in good condition until permanent repairs are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underground drain tile damaged, cut, or removed and found to not be flowing shall have the upstream exposed tile line screened or otherwise protected to prevent the entry of foreign material and small animals into the tile system. The downstream tile line entrance shall be capped or filtered to prevent entry of mud or foreign material into the line if the water level rises.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Marking. </w:t>
      </w:r>
      <w:r>
        <w:rPr>
          <w:rFonts w:ascii="Times New Roman" w:hAnsi="Times New Roman"/>
          <w:b w:val="false"/>
          <w:i w:val="false"/>
          <w:color w:val="000000"/>
          <w:sz w:val="24"/>
        </w:rPr>
        <w:t>Any underground drain tile damaged, cut, or removed shall be marked by placing a highly visible flag directly over or opposite such tile. This marker shall remain until the tile has been permanently repaired.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Permanent repairs. </w:t>
      </w:r>
      <w:r>
        <w:rPr>
          <w:rFonts w:ascii="Times New Roman" w:hAnsi="Times New Roman"/>
          <w:b w:val="false"/>
          <w:i w:val="false"/>
          <w:color w:val="000000"/>
          <w:sz w:val="24"/>
        </w:rPr>
        <w:t>Tile disturbed or damaged by electric transmission line construction shall be repaired to its original or better condition. Permanent repairs shall be completed as soon as practicable after the initial construction has completed. Permanent repair and replacement of damaged drain tile shall be performed in accordance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damaged, broken, or cracked tile shall be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Only unobstructed tile shall be used for replacement.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tile furnished for replacement purposes shall be of a quality, size, and flow capacity at least equal to that of the tile being replaced.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Tile shall be replaced using a laser transit, or similar instrument or method, to ensure that the tile’s proper gradient and alignment are restored, except where relocation or rerouting is required due to an electric transmission line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replaced tile shall be firmly supported to prevent loss of gradient or alignment due to soil settlement.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Subsurface drainage. </w:t>
      </w:r>
      <w:r>
        <w:rPr>
          <w:rFonts w:ascii="Times New Roman" w:hAnsi="Times New Roman"/>
          <w:b w:val="false"/>
          <w:i w:val="false"/>
          <w:color w:val="000000"/>
          <w:sz w:val="24"/>
        </w:rPr>
        <w:t>Subsequent to electric transmission line construction and permanent repair, if it becomes apparent the tile line in the area disturbed by construction is not functioning correctly or that the land adjacent to the electric transmission line is not draining properly, which can reasonably be attributed to the electric transmission line construction, the electric transmission owner shall make further repairs or install additional tile as necessary to restore subsurface drainage.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8.5(2)</w:t>
      </w:r>
      <w:r>
        <w:rPr>
          <w:rFonts w:ascii="Times New Roman" w:hAnsi="Times New Roman"/>
          <w:b w:val="false"/>
          <w:i w:val="false"/>
          <w:color w:val="000000"/>
          <w:sz w:val="24"/>
        </w:rPr>
        <w:t> </w:t>
      </w:r>
      <w:r>
        <w:rPr>
          <w:rFonts w:ascii="Times New Roman" w:hAnsi="Times New Roman"/>
          <w:b w:val="false"/>
          <w:i/>
          <w:color w:val="000000"/>
          <w:sz w:val="24"/>
        </w:rPr>
        <w:t xml:space="preserve">Removal of rocks and debris from the easement.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Removal. </w:t>
      </w:r>
      <w:r>
        <w:rPr>
          <w:rFonts w:ascii="Times New Roman" w:hAnsi="Times New Roman"/>
          <w:b w:val="false"/>
          <w:i w:val="false"/>
          <w:color w:val="000000"/>
          <w:sz w:val="24"/>
        </w:rPr>
        <w:t>Soil excavated within the easement area shall be free of all rock larger than three inches in average diameter not native to the soil prior to excavation and free of all rocks, gravel or other nonnative surfaces used for an access road or an entrance in the easement area unless alternative arrangements have been made with the landowner. Where rocks over three inches in size are present, their size and frequency shall be similar to adjacent soil not disturbed by construction. In addition, the electric transmission owner shall examine areas adjacent to the easement and along access roads and shall remove any large rocks or debris that may have rolled or blown from the right-of-way or fallen from vehicles.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Disposal. </w:t>
      </w:r>
      <w:r>
        <w:rPr>
          <w:rFonts w:ascii="Times New Roman" w:hAnsi="Times New Roman"/>
          <w:b w:val="false"/>
          <w:i w:val="false"/>
          <w:color w:val="000000"/>
          <w:sz w:val="24"/>
        </w:rPr>
        <w:t>Rock that cannot remain in or be used as backfill shall be disposed of at locations and in a manner mutually satisfactory to the electric transmission owner and the landowner. Soil from which excess rock has been removed may be used for backfill. All debris attributable to the electric transmission line construction and related activities shall be removed and disposed of properly. For the purposes of this rule, debris includes spilled oil, grease, fuel, or other petroleum or chemical products. Such products and any contaminated soil shall be removed for proper disposal or treated by appropriate in situ remediation.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8.5(3)</w:t>
      </w:r>
      <w:r>
        <w:rPr>
          <w:rFonts w:ascii="Times New Roman" w:hAnsi="Times New Roman"/>
          <w:b w:val="false"/>
          <w:i w:val="false"/>
          <w:color w:val="000000"/>
          <w:sz w:val="24"/>
        </w:rPr>
        <w:t> </w:t>
      </w:r>
      <w:r>
        <w:rPr>
          <w:rFonts w:ascii="Times New Roman" w:hAnsi="Times New Roman"/>
          <w:b w:val="false"/>
          <w:i/>
          <w:color w:val="000000"/>
          <w:sz w:val="24"/>
        </w:rPr>
        <w:t xml:space="preserve">Restoration after soil compaction and rutting.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Agricultural restoration. </w:t>
      </w:r>
      <w:r>
        <w:rPr>
          <w:rFonts w:ascii="Times New Roman" w:hAnsi="Times New Roman"/>
          <w:b w:val="false"/>
          <w:i w:val="false"/>
          <w:color w:val="000000"/>
          <w:sz w:val="24"/>
        </w:rPr>
        <w:t>Agricultural land, including off right-of-way access roads traversed by heavy construction equipment, shall be deep tilled to alleviate soil compaction upon completion of construction on the property. At least three passes with the deep tillage equipment shall be made. Tillage shall be at least 18 inches deep in land used for crop production and 12 inches deep on other lands and shall be performed under soil moisture conditions that result in a maximum standard penetration test (SPT) reading of 300 psi pursuant to ASTM D1586/D1586M-18e1 as published on November 30, 2018, by a qualified person. Decompaction shall not occur in wet conditions. Upon agreement, this tillage may be performed by the landowners or tenants using their own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Rutted land restoration. </w:t>
      </w:r>
      <w:r>
        <w:rPr>
          <w:rFonts w:ascii="Times New Roman" w:hAnsi="Times New Roman"/>
          <w:b w:val="false"/>
          <w:i w:val="false"/>
          <w:color w:val="000000"/>
          <w:sz w:val="24"/>
        </w:rPr>
        <w:t>Rutted land shall be graded and tilled until restored as near as practical to its preconstruction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8.5(4)</w:t>
      </w:r>
      <w:r>
        <w:rPr>
          <w:rFonts w:ascii="Times New Roman" w:hAnsi="Times New Roman"/>
          <w:b w:val="false"/>
          <w:i w:val="false"/>
          <w:color w:val="000000"/>
          <w:sz w:val="24"/>
        </w:rPr>
        <w:t> </w:t>
      </w:r>
      <w:r>
        <w:rPr>
          <w:rFonts w:ascii="Times New Roman" w:hAnsi="Times New Roman"/>
          <w:b w:val="false"/>
          <w:i/>
          <w:color w:val="000000"/>
          <w:sz w:val="24"/>
        </w:rPr>
        <w:t xml:space="preserve">Restoration of terraces, waterways, and other erosion control structures. </w:t>
      </w:r>
      <w:r>
        <w:rPr>
          <w:rFonts w:ascii="Times New Roman" w:hAnsi="Times New Roman"/>
          <w:b w:val="false"/>
          <w:i w:val="false"/>
          <w:color w:val="000000"/>
          <w:sz w:val="24"/>
        </w:rPr>
        <w:t>Existing soil conservation practices and structures damaged by the construction of an electric transmission line shall be restored to the elevation and grade existing prior to the time of the electric transmission line construction. Any drain tiles or flow diversion devices impacted by the electric transmission line construction shall be repaired or modified as needed. Soil used to repair embankments intended to retain water shall be well compacted. Disturbed vegetation shall be reestablished, including a cover crop when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8.5(5)</w:t>
      </w:r>
      <w:r>
        <w:rPr>
          <w:rFonts w:ascii="Times New Roman" w:hAnsi="Times New Roman"/>
          <w:b w:val="false"/>
          <w:i w:val="false"/>
          <w:color w:val="000000"/>
          <w:sz w:val="24"/>
        </w:rPr>
        <w:t> </w:t>
      </w:r>
      <w:r>
        <w:rPr>
          <w:rFonts w:ascii="Times New Roman" w:hAnsi="Times New Roman"/>
          <w:b w:val="false"/>
          <w:i/>
          <w:color w:val="000000"/>
          <w:sz w:val="24"/>
        </w:rPr>
        <w:t xml:space="preserve">Revegetation of untilled land.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Crop production. </w:t>
      </w:r>
      <w:r>
        <w:rPr>
          <w:rFonts w:ascii="Times New Roman" w:hAnsi="Times New Roman"/>
          <w:b w:val="false"/>
          <w:i w:val="false"/>
          <w:color w:val="000000"/>
          <w:sz w:val="24"/>
        </w:rPr>
        <w:t xml:space="preserve">Agricultural land not in row crop or small grain production at the time of construction, including hay ground and land in conservation or set-aside programs, shall be reseeded, including use of a cover crop when appropriate, following completion of deep tillage. The seed mix used shall restore the original or a comparable ground cover unless otherwise requested by the landowner. If the land is to be placed in crop production the following year, paragraph </w:t>
      </w:r>
      <w:hyperlink r:id="rId18">
        <w:r>
          <w:rPr>
            <w:rStyle w:val="Hyperlink"/>
            <w:rFonts w:ascii="Times New Roman" w:hAnsi="Times New Roman"/>
            <w:b w:val="false"/>
            <w:i w:val="false"/>
            <w:color w:val="000000"/>
            <w:sz w:val="24"/>
          </w:rPr>
          <w:t>8.5(5)</w:t>
        </w:r>
      </w:hyperlink>
      <w:r>
        <w:rPr>
          <w:rFonts w:ascii="Times New Roman" w:hAnsi="Times New Roman"/>
          <w:b w:val="false"/>
          <w:i/>
          <w:color w:val="000000"/>
          <w:sz w:val="24"/>
        </w:rPr>
        <w:t>“b”</w:t>
      </w:r>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Delayed crop production. </w:t>
      </w:r>
      <w:r>
        <w:rPr>
          <w:rFonts w:ascii="Times New Roman" w:hAnsi="Times New Roman"/>
          <w:b w:val="false"/>
          <w:i w:val="false"/>
          <w:color w:val="000000"/>
          <w:sz w:val="24"/>
        </w:rPr>
        <w:t>Agricultural land used for row crop or small grain production that will not be planted in that calendar year due to the electric transmission line construction shall be seeded with an appropriate cover crop following completion of deep tillage. However, cover crop seeding may be delayed if construction is completed too late in the year for a cover crop to become established and in such instances is not required if the landowner or tenant proposes to till the land the following year. The landowner may request ground cover where the construction is completed too late in the year for a cover crop to become established to prevent soil erosion.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Weed control. </w:t>
      </w:r>
      <w:r>
        <w:rPr>
          <w:rFonts w:ascii="Times New Roman" w:hAnsi="Times New Roman"/>
          <w:b w:val="false"/>
          <w:i w:val="false"/>
          <w:color w:val="000000"/>
          <w:sz w:val="24"/>
        </w:rPr>
        <w:t>On any easement, the electric transmission owner shall provide for weed control in a manner that prevents the spread of weeds onto adjacent lands used for agricultural purposes. Spraying shall be done by a pesticide applicator that is appropriately licensed or certified for the spraying of pesticide in Iowa. If the electric transmission owner fails to control weeds within 45 days after receiving written notice from the landowner, the electric transmission owner shall be responsible for reimbursing all reasonable costs of weed control incurred by landowners of adjacent land.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8.5(6)</w:t>
      </w:r>
      <w:r>
        <w:rPr>
          <w:rFonts w:ascii="Times New Roman" w:hAnsi="Times New Roman"/>
          <w:b w:val="false"/>
          <w:i w:val="false"/>
          <w:color w:val="000000"/>
          <w:sz w:val="24"/>
        </w:rPr>
        <w:t> </w:t>
      </w:r>
      <w:r>
        <w:rPr>
          <w:rFonts w:ascii="Times New Roman" w:hAnsi="Times New Roman"/>
          <w:b w:val="false"/>
          <w:i/>
          <w:color w:val="000000"/>
          <w:sz w:val="24"/>
        </w:rPr>
        <w:t xml:space="preserve">Restoration of land slope and contour. </w:t>
      </w:r>
      <w:r>
        <w:rPr>
          <w:rFonts w:ascii="Times New Roman" w:hAnsi="Times New Roman"/>
          <w:b w:val="false"/>
          <w:i w:val="false"/>
          <w:color w:val="000000"/>
          <w:sz w:val="24"/>
        </w:rPr>
        <w:t>Upon completion of construction, the slope, contour, grade, and drainage pattern of the disturbed area shall be restored as near as possible to its preconstruction condition. Excessive or insufficient settlement, which visibly affects land contour or undesirably alters surface drainage, shall be remediated by the electric transmission owner by means such as regrading and, if necessary, import of appropriate fill material. Disturbed areas in which erosion causes formation of rills or channels, or areas of heavy sediment deposition, shall be regraded as needed. On steep slopes, methods such as sediment barriers, slope breakers, or mulching shall be used as necessary to control erosion until vegetation can be reestablished.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8.5(7)</w:t>
      </w:r>
      <w:r>
        <w:rPr>
          <w:rFonts w:ascii="Times New Roman" w:hAnsi="Times New Roman"/>
          <w:b w:val="false"/>
          <w:i w:val="false"/>
          <w:color w:val="000000"/>
          <w:sz w:val="24"/>
        </w:rPr>
        <w:t> </w:t>
      </w:r>
      <w:r>
        <w:rPr>
          <w:rFonts w:ascii="Times New Roman" w:hAnsi="Times New Roman"/>
          <w:b w:val="false"/>
          <w:i/>
          <w:color w:val="000000"/>
          <w:sz w:val="24"/>
        </w:rPr>
        <w:t xml:space="preserve">Restoration of areas used for field entrances or temporary roads. </w:t>
      </w:r>
      <w:r>
        <w:rPr>
          <w:rFonts w:ascii="Times New Roman" w:hAnsi="Times New Roman"/>
          <w:b w:val="false"/>
          <w:i w:val="false"/>
          <w:color w:val="000000"/>
          <w:sz w:val="24"/>
        </w:rPr>
        <w:t xml:space="preserve">Upon completion of construction and land restoration, field entrances or temporary roads built as part of the construction project shall be removed and the land made suitable for return to its previous use. Areas affected shall be regraded as required by subrule </w:t>
      </w:r>
      <w:hyperlink r:id="rId19">
        <w:r>
          <w:rPr>
            <w:rStyle w:val="Hyperlink"/>
            <w:rFonts w:ascii="Times New Roman" w:hAnsi="Times New Roman"/>
            <w:b w:val="false"/>
            <w:i w:val="false"/>
            <w:color w:val="000000"/>
            <w:sz w:val="24"/>
          </w:rPr>
          <w:t>8.5(6)</w:t>
        </w:r>
      </w:hyperlink>
      <w:r>
        <w:rPr>
          <w:rFonts w:ascii="Times New Roman" w:hAnsi="Times New Roman"/>
          <w:b w:val="false"/>
          <w:i w:val="false"/>
          <w:color w:val="000000"/>
          <w:sz w:val="24"/>
        </w:rPr>
        <w:t xml:space="preserve"> and deep tilled as required by subrule </w:t>
      </w:r>
      <w:hyperlink r:id="rId20">
        <w:r>
          <w:rPr>
            <w:rStyle w:val="Hyperlink"/>
            <w:rFonts w:ascii="Times New Roman" w:hAnsi="Times New Roman"/>
            <w:b w:val="false"/>
            <w:i w:val="false"/>
            <w:color w:val="000000"/>
            <w:sz w:val="24"/>
          </w:rPr>
          <w:t>8.5(3)</w:t>
        </w:r>
      </w:hyperlink>
      <w:r>
        <w:rPr>
          <w:rFonts w:ascii="Times New Roman" w:hAnsi="Times New Roman"/>
          <w:b w:val="false"/>
          <w:i w:val="false"/>
          <w:color w:val="000000"/>
          <w:sz w:val="24"/>
        </w:rPr>
        <w:t>. If by agreement, or at landowner request, and subject to any necessary approval by local public road authorities, a field entrance or road is to be left in place, it shall be left in a graded and serviceable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8.5(8)</w:t>
      </w:r>
      <w:r>
        <w:rPr>
          <w:rFonts w:ascii="Times New Roman" w:hAnsi="Times New Roman"/>
          <w:b w:val="false"/>
          <w:i w:val="false"/>
          <w:color w:val="000000"/>
          <w:sz w:val="24"/>
        </w:rPr>
        <w:t> </w:t>
      </w:r>
      <w:r>
        <w:rPr>
          <w:rFonts w:ascii="Times New Roman" w:hAnsi="Times New Roman"/>
          <w:b w:val="false"/>
          <w:i/>
          <w:color w:val="000000"/>
          <w:sz w:val="24"/>
        </w:rPr>
        <w:t xml:space="preserve">Construction in wet conditions. </w:t>
      </w:r>
      <w:r>
        <w:rPr>
          <w:rFonts w:ascii="Times New Roman" w:hAnsi="Times New Roman"/>
          <w:b w:val="false"/>
          <w:i w:val="false"/>
          <w:color w:val="000000"/>
          <w:sz w:val="24"/>
        </w:rPr>
        <w:t>Construction in wet soil conditions shall not commence or continue at times when or locations where the passage of heavy construction equipment may cause rutting to the extent that topsoil and subsoil are mixed or underground drainage structures may be damaged. To facilitate construction in wet soils, the electric transmission owner may elect to install mats or padding or use other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8.5(9)</w:t>
      </w:r>
      <w:r>
        <w:rPr>
          <w:rFonts w:ascii="Times New Roman" w:hAnsi="Times New Roman"/>
          <w:b w:val="false"/>
          <w:i w:val="false"/>
          <w:color w:val="000000"/>
          <w:sz w:val="24"/>
        </w:rPr>
        <w:t> </w:t>
      </w:r>
      <w:r>
        <w:rPr>
          <w:rFonts w:ascii="Times New Roman" w:hAnsi="Times New Roman"/>
          <w:b w:val="false"/>
          <w:i/>
          <w:color w:val="000000"/>
          <w:sz w:val="24"/>
        </w:rPr>
        <w:t xml:space="preserve">Access to land. </w:t>
      </w:r>
      <w:r>
        <w:rPr>
          <w:rFonts w:ascii="Times New Roman" w:hAnsi="Times New Roman"/>
          <w:b w:val="false"/>
          <w:i w:val="false"/>
          <w:color w:val="000000"/>
          <w:sz w:val="24"/>
        </w:rPr>
        <w:t>Nothing in this rule shall prohibit a landowner or person in possession of the land pursuant to a lease from having access to the property. A landowner or person in possession of the land pursuant to a lease shall not disrupt ongoing construction and shall not compromise the safety considerations of the construction. A landowner or person in possession of the land pursuant to a lease shall abide by any and all safety instructions established by the electric transmission owner during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8.5(10)</w:t>
      </w:r>
      <w:r>
        <w:rPr>
          <w:rFonts w:ascii="Times New Roman" w:hAnsi="Times New Roman"/>
          <w:b w:val="false"/>
          <w:i w:val="false"/>
          <w:color w:val="000000"/>
          <w:sz w:val="24"/>
        </w:rPr>
        <w:t> </w:t>
      </w:r>
      <w:r>
        <w:rPr>
          <w:rFonts w:ascii="Times New Roman" w:hAnsi="Times New Roman"/>
          <w:b w:val="false"/>
          <w:i/>
          <w:color w:val="000000"/>
          <w:sz w:val="24"/>
        </w:rPr>
        <w:t xml:space="preserve">Cleanup and removal of solid waste. </w:t>
      </w:r>
      <w:r>
        <w:rPr>
          <w:rFonts w:ascii="Times New Roman" w:hAnsi="Times New Roman"/>
          <w:b w:val="false"/>
          <w:i w:val="false"/>
          <w:color w:val="000000"/>
          <w:sz w:val="24"/>
        </w:rPr>
        <w:t>All solid waste shall be removed within three days after electric transmission line construction is completed on a parcel and properly recycled or disposed of by the electric transmission company.</w:t>
      </w:r>
    </w:p>
    <w:p>
      <w:pPr>
        <w:spacing w:before="210" w:after="0" w:line="480"/>
        <w:ind w:left="120"/>
        <w:jc w:val="both"/>
      </w:pPr>
      <w:r>
        <w:rPr>
          <w:rFonts w:ascii="Times New Roman" w:hAnsi="Times New Roman"/>
          <w:b/>
          <w:i w:val="false"/>
          <w:color w:val="000000"/>
          <w:sz w:val="24"/>
        </w:rPr>
        <w:t>199—8.6</w:t>
      </w:r>
      <w:r>
        <w:rPr>
          <w:rFonts w:ascii="Times New Roman" w:hAnsi="Times New Roman"/>
          <w:b/>
          <w:i w:val="false"/>
          <w:color w:val="000000"/>
          <w:sz w:val="24"/>
        </w:rPr>
        <w:t xml:space="preserve">(478) </w:t>
      </w:r>
      <w:r>
        <w:rPr>
          <w:rFonts w:ascii="Times New Roman" w:hAnsi="Times New Roman"/>
          <w:b/>
          <w:i w:val="false"/>
          <w:color w:val="000000"/>
          <w:sz w:val="24"/>
        </w:rPr>
        <w:t xml:space="preserve">Designation of an electric transmission owner point of contact for landowner inquiries or claims. </w:t>
      </w:r>
      <w:r>
        <w:rPr>
          <w:rFonts w:ascii="Times New Roman" w:hAnsi="Times New Roman"/>
          <w:b w:val="false"/>
          <w:i w:val="false"/>
          <w:color w:val="000000"/>
          <w:sz w:val="24"/>
        </w:rPr>
        <w:t xml:space="preserve">For each electric transmission line construction project subject to this chapter, the electric transmission owner shall designate a point of contact for inquiries or claims from landowners. The designation shall include the name of an individual to contact and a toll-free telephone number, an email address, and an address through which that person can be reached. The electric transmission owner shall also provide contact information for the commission. This information shall be provided to all landowners prior to commencement of construction. Any change in the point of contact shall be promptly communicated in writing to the landowners. A designated point of contact shall remain available for all landowners for at least one year following project completion, as described in </w:t>
      </w:r>
      <w:hyperlink r:id="rId21">
        <w:r>
          <w:rPr>
            <w:rStyle w:val="Hyperlink"/>
            <w:rFonts w:ascii="Times New Roman" w:hAnsi="Times New Roman"/>
            <w:b w:val="false"/>
            <w:i w:val="false"/>
            <w:color w:val="000000"/>
            <w:sz w:val="24"/>
          </w:rPr>
          <w:t>199—subrule 11.10(2)</w:t>
        </w:r>
      </w:hyperlink>
      <w:r>
        <w:rPr>
          <w:rFonts w:ascii="Times New Roman" w:hAnsi="Times New Roman"/>
          <w:b w:val="false"/>
          <w:i w:val="false"/>
          <w:color w:val="000000"/>
          <w:sz w:val="24"/>
        </w:rPr>
        <w:t>, and for landowners with unresolved damage claims, until such time as those claims are settled.</w:t>
      </w:r>
    </w:p>
    <w:p>
      <w:pPr>
        <w:spacing w:before="210" w:after="0" w:line="480"/>
        <w:ind w:left="120"/>
        <w:jc w:val="both"/>
      </w:pPr>
      <w:r>
        <w:rPr>
          <w:rFonts w:ascii="Times New Roman" w:hAnsi="Times New Roman"/>
          <w:b/>
          <w:i w:val="false"/>
          <w:color w:val="000000"/>
          <w:sz w:val="24"/>
        </w:rPr>
        <w:t>199—8.7</w:t>
      </w:r>
      <w:r>
        <w:rPr>
          <w:rFonts w:ascii="Times New Roman" w:hAnsi="Times New Roman"/>
          <w:b/>
          <w:i w:val="false"/>
          <w:color w:val="000000"/>
          <w:sz w:val="24"/>
        </w:rPr>
        <w:t xml:space="preserve">(478) </w:t>
      </w:r>
      <w:r>
        <w:rPr>
          <w:rFonts w:ascii="Times New Roman" w:hAnsi="Times New Roman"/>
          <w:b/>
          <w:i w:val="false"/>
          <w:color w:val="000000"/>
          <w:sz w:val="24"/>
        </w:rPr>
        <w:t xml:space="preserve">Separate agreements. </w:t>
      </w:r>
      <w:r>
        <w:rPr>
          <w:rFonts w:ascii="Times New Roman" w:hAnsi="Times New Roman"/>
          <w:b w:val="false"/>
          <w:i w:val="false"/>
          <w:color w:val="000000"/>
          <w:sz w:val="24"/>
        </w:rPr>
        <w:t>This chapter does not preclude the application of provisions for protecting or restoring property that are different from those contained in this chapter, or in a land restoration plan, which are contained in easements or other agreements independently executed by the electric transmission owner and the landowner. The alternative provision shall not be inconsistent with state law or these rules. The agreement shall be in writing, and the electric transmission owner shall provide a copy to the commission.</w:t>
      </w:r>
    </w:p>
    <w:p>
      <w:pPr>
        <w:spacing w:before="0" w:after="0" w:line="480"/>
        <w:ind w:left="120"/>
        <w:jc w:val="both"/>
      </w:pPr>
      <w:r>
        <w:rPr>
          <w:rFonts w:ascii="Times New Roman" w:hAnsi="Times New Roman"/>
          <w:b/>
          <w:i w:val="false"/>
          <w:color w:val="000000"/>
          <w:sz w:val="24"/>
        </w:rPr>
        <w:t>199—8.8</w:t>
      </w:r>
      <w:r>
        <w:rPr>
          <w:rFonts w:ascii="Times New Roman" w:hAnsi="Times New Roman"/>
          <w:b/>
          <w:i w:val="false"/>
          <w:color w:val="000000"/>
          <w:sz w:val="24"/>
        </w:rPr>
        <w:t xml:space="preserve">(478) </w:t>
      </w:r>
      <w:r>
        <w:rPr>
          <w:rFonts w:ascii="Times New Roman" w:hAnsi="Times New Roman"/>
          <w:b/>
          <w:i w:val="false"/>
          <w:color w:val="000000"/>
          <w:sz w:val="24"/>
        </w:rPr>
        <w:t xml:space="preserve">Notice of violation and halting construction.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8.8(1)</w:t>
      </w:r>
      <w:r>
        <w:rPr>
          <w:rFonts w:ascii="Times New Roman" w:hAnsi="Times New Roman"/>
          <w:b w:val="false"/>
          <w:i w:val="false"/>
          <w:color w:val="000000"/>
          <w:sz w:val="24"/>
        </w:rPr>
        <w:t> </w:t>
      </w:r>
      <w:r>
        <w:rPr>
          <w:rFonts w:ascii="Times New Roman" w:hAnsi="Times New Roman"/>
          <w:b w:val="false"/>
          <w:i/>
          <w:color w:val="000000"/>
          <w:sz w:val="24"/>
        </w:rPr>
        <w:t xml:space="preserve">Notice of dispute. </w:t>
      </w:r>
      <w:r>
        <w:rPr>
          <w:rFonts w:ascii="Times New Roman" w:hAnsi="Times New Roman"/>
          <w:b w:val="false"/>
          <w:i w:val="false"/>
          <w:color w:val="000000"/>
          <w:sz w:val="24"/>
        </w:rPr>
        <w:t xml:space="preserve">If a good faith dispute arises between a landowner and an electric transmission owner regarding the land restoration plan required by Iowa Code section </w:t>
      </w:r>
      <w:hyperlink r:id="rId22">
        <w:r>
          <w:rPr>
            <w:rStyle w:val="Hyperlink"/>
            <w:rFonts w:ascii="Times New Roman" w:hAnsi="Times New Roman"/>
            <w:b w:val="false"/>
            <w:i w:val="false"/>
            <w:color w:val="000000"/>
            <w:sz w:val="24"/>
          </w:rPr>
          <w:t>478.34</w:t>
        </w:r>
      </w:hyperlink>
      <w:r>
        <w:rPr>
          <w:rFonts w:ascii="Times New Roman" w:hAnsi="Times New Roman"/>
          <w:b w:val="false"/>
          <w:i w:val="false"/>
          <w:color w:val="000000"/>
          <w:sz w:val="24"/>
        </w:rPr>
        <w:t>, construction shall immediately halt at the disputed location, if applicable, and the electric transmission owner or landowner shall immediately notify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Notice to the commission. </w:t>
      </w:r>
      <w:r>
        <w:rPr>
          <w:rFonts w:ascii="Times New Roman" w:hAnsi="Times New Roman"/>
          <w:b w:val="false"/>
          <w:i w:val="false"/>
          <w:color w:val="000000"/>
          <w:sz w:val="24"/>
        </w:rPr>
        <w:t>For the purpose of this rule, notice may be made by placing a telephone call to the commission’s customer service bureau at 515.725.7300 or toll-free at 877.565.4450; by email to customer@iuc.iowa.gov; or by filing in the commission’s electronic filing system. If notice is received by telephone or email, such notice will then be provided to the electric transmission line company or landowner via the commission’s electronic filing system, email, or U.S. postal mail based upon the contact information available to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Halting construction. </w:t>
      </w:r>
      <w:r>
        <w:rPr>
          <w:rFonts w:ascii="Times New Roman" w:hAnsi="Times New Roman"/>
          <w:b w:val="false"/>
          <w:i w:val="false"/>
          <w:color w:val="000000"/>
          <w:sz w:val="24"/>
        </w:rPr>
        <w:t>For the purpose of this rule, construction shall halt upon receipt of a notice of a dispute being provided to the electric transmission line company where permanent damage may occur. Permanent damage includes but is not limited to tree clearing, temporary or permanent tile repair, construction in wet conditions, or loss of access. The qualified individual shall have the authority to halt construction by providing verbal notice to the electric transmission line company when the qualified individual identifies a violation of this chapter that may result in permanent damage. Halting construction does not include work necessary to stabilize the site to maintain compliance with other state and federal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8.8(2)</w:t>
      </w:r>
      <w:r>
        <w:rPr>
          <w:rFonts w:ascii="Times New Roman" w:hAnsi="Times New Roman"/>
          <w:b w:val="false"/>
          <w:i w:val="false"/>
          <w:color w:val="000000"/>
          <w:sz w:val="24"/>
        </w:rPr>
        <w:t> </w:t>
      </w:r>
      <w:r>
        <w:rPr>
          <w:rFonts w:ascii="Times New Roman" w:hAnsi="Times New Roman"/>
          <w:b w:val="false"/>
          <w:i/>
          <w:color w:val="000000"/>
          <w:sz w:val="24"/>
        </w:rPr>
        <w:t xml:space="preserve">Qualified individual examination. </w:t>
      </w:r>
      <w:r>
        <w:rPr>
          <w:rFonts w:ascii="Times New Roman" w:hAnsi="Times New Roman"/>
          <w:b w:val="false"/>
          <w:i w:val="false"/>
          <w:color w:val="000000"/>
          <w:sz w:val="24"/>
        </w:rPr>
        <w:t>Upon receipt of a dispute, the commission shall, within two business days or as soon as pragmatically possible, send a qualified individual to examine the disputed issue. The qualified individual shall give verbal notice of a violation of the applicable land restoration standards, followed by written notice, to the electric transmission owner and the electric transmission owner’s contractor. The qualified individual’s written notice of the violation shall be filed with the commission within two business days or as soon as possible after completing the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8.8(3)</w:t>
      </w:r>
      <w:r>
        <w:rPr>
          <w:rFonts w:ascii="Times New Roman" w:hAnsi="Times New Roman"/>
          <w:b w:val="false"/>
          <w:i w:val="false"/>
          <w:color w:val="000000"/>
          <w:sz w:val="24"/>
        </w:rPr>
        <w:t> </w:t>
      </w:r>
      <w:r>
        <w:rPr>
          <w:rFonts w:ascii="Times New Roman" w:hAnsi="Times New Roman"/>
          <w:b w:val="false"/>
          <w:i/>
          <w:color w:val="000000"/>
          <w:sz w:val="24"/>
        </w:rPr>
        <w:t xml:space="preserve">Dispute resolution. </w:t>
      </w:r>
      <w:r>
        <w:rPr>
          <w:rFonts w:ascii="Times New Roman" w:hAnsi="Times New Roman"/>
          <w:b w:val="false"/>
          <w:i w:val="false"/>
          <w:color w:val="000000"/>
          <w:sz w:val="24"/>
        </w:rPr>
        <w:t>The commission shall issue an order directing the electric transmission owner to make any necessary remedies to ensure the electric transmission owner is in compliance with the approved land restoration plan within seven business days of receiving the qualified individual’s written notice. Construction shall not commence at the disputed location until the commission’s order has been issued. Once the order is issued, the electric transmission owner shall take all appropriate steps to remedy the disputed issue. If the landowner or electric transmission owner appeals the commission’s initial order, construction may continue; however, the electric transmission owner will be responsible for any damages or for correcting any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8.8(4)</w:t>
      </w:r>
      <w:r>
        <w:rPr>
          <w:rFonts w:ascii="Times New Roman" w:hAnsi="Times New Roman"/>
          <w:b w:val="false"/>
          <w:i w:val="false"/>
          <w:color w:val="000000"/>
          <w:sz w:val="24"/>
        </w:rPr>
        <w:t> </w:t>
      </w:r>
      <w:r>
        <w:rPr>
          <w:rFonts w:ascii="Times New Roman" w:hAnsi="Times New Roman"/>
          <w:b w:val="false"/>
          <w:i/>
          <w:color w:val="000000"/>
          <w:sz w:val="24"/>
        </w:rPr>
        <w:t xml:space="preserve">Multiple or subsequent disputes. </w:t>
      </w:r>
      <w:r>
        <w:rPr>
          <w:rFonts w:ascii="Times New Roman" w:hAnsi="Times New Roman"/>
          <w:b w:val="false"/>
          <w:i w:val="false"/>
          <w:color w:val="000000"/>
          <w:sz w:val="24"/>
        </w:rPr>
        <w:t xml:space="preserve">Nothing in this rule shall limit the number of disputes between a landowner and electric transmission owner. Nothing in this rule shall limit a landowner’s ability to file a subsequent dispute on remediations or actions taken by the electric transmission owner related to the commission’s order in subrule </w:t>
      </w:r>
      <w:hyperlink r:id="rId23">
        <w:r>
          <w:rPr>
            <w:rStyle w:val="Hyperlink"/>
            <w:rFonts w:ascii="Times New Roman" w:hAnsi="Times New Roman"/>
            <w:b w:val="false"/>
            <w:i w:val="false"/>
            <w:color w:val="000000"/>
            <w:sz w:val="24"/>
          </w:rPr>
          <w:t>8.8(3)</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199—8.9</w:t>
      </w:r>
      <w:r>
        <w:rPr>
          <w:rFonts w:ascii="Times New Roman" w:hAnsi="Times New Roman"/>
          <w:b/>
          <w:i w:val="false"/>
          <w:color w:val="000000"/>
          <w:sz w:val="24"/>
        </w:rPr>
        <w:t xml:space="preserve">(478) </w:t>
      </w:r>
      <w:r>
        <w:rPr>
          <w:rFonts w:ascii="Times New Roman" w:hAnsi="Times New Roman"/>
          <w:b/>
          <w:i w:val="false"/>
          <w:color w:val="000000"/>
          <w:sz w:val="24"/>
        </w:rPr>
        <w:t xml:space="preserve">Postconstruction inspection. </w:t>
      </w:r>
      <w:r>
        <w:rPr>
          <w:rFonts w:ascii="Times New Roman" w:hAnsi="Times New Roman"/>
          <w:b w:val="false"/>
          <w:i w:val="false"/>
          <w:color w:val="000000"/>
          <w:sz w:val="24"/>
        </w:rPr>
        <w:t>An electric transmission line owner shall provide notice to the commission within five business days after the restoration of agricultural land as construction is completed for each line mile of the electric transmission line. The commission shall promptly send a qualified individual to inspect the agricultural land to ensure compliance with the approved land restoration plan or separate agreement. The qualified individual shall promptly file a postconstruction inspection report detailing any issues or concerns with the land restoration completed by the electric transmission owner.</w:t>
      </w:r>
    </w:p>
    <w:p>
      <w:pPr>
        <w:spacing w:before="210" w:after="0" w:line="480"/>
        <w:ind w:left="120"/>
        <w:jc w:val="both"/>
      </w:pPr>
      <w:r>
        <w:rPr>
          <w:rFonts w:ascii="Times New Roman" w:hAnsi="Times New Roman"/>
          <w:b/>
          <w:i w:val="false"/>
          <w:color w:val="000000"/>
          <w:sz w:val="24"/>
        </w:rPr>
        <w:t>199—8.10</w:t>
      </w:r>
      <w:r>
        <w:rPr>
          <w:rFonts w:ascii="Times New Roman" w:hAnsi="Times New Roman"/>
          <w:b/>
          <w:i w:val="false"/>
          <w:color w:val="000000"/>
          <w:sz w:val="24"/>
        </w:rPr>
        <w:t xml:space="preserve">(478) </w:t>
      </w:r>
      <w:r>
        <w:rPr>
          <w:rFonts w:ascii="Times New Roman" w:hAnsi="Times New Roman"/>
          <w:b/>
          <w:i w:val="false"/>
          <w:color w:val="000000"/>
          <w:sz w:val="24"/>
        </w:rPr>
        <w:t xml:space="preserve">Enforcement. </w:t>
      </w:r>
      <w:r>
        <w:rPr>
          <w:rFonts w:ascii="Times New Roman" w:hAnsi="Times New Roman"/>
          <w:b w:val="false"/>
          <w:i w:val="false"/>
          <w:color w:val="000000"/>
          <w:sz w:val="24"/>
        </w:rPr>
        <w:t xml:space="preserve">An electric transmission owner shall fully cooperate with qualified individuals in the performance of their duties under Iowa Code section </w:t>
      </w:r>
      <w:hyperlink r:id="rId24">
        <w:r>
          <w:rPr>
            <w:rStyle w:val="Hyperlink"/>
            <w:rFonts w:ascii="Times New Roman" w:hAnsi="Times New Roman"/>
            <w:b w:val="false"/>
            <w:i w:val="false"/>
            <w:color w:val="000000"/>
            <w:sz w:val="24"/>
          </w:rPr>
          <w:t>478.34</w:t>
        </w:r>
      </w:hyperlink>
      <w:r>
        <w:rPr>
          <w:rFonts w:ascii="Times New Roman" w:hAnsi="Times New Roman"/>
          <w:b w:val="false"/>
          <w:i w:val="false"/>
          <w:color w:val="000000"/>
          <w:sz w:val="24"/>
        </w:rPr>
        <w:t xml:space="preserve">. If the electric transmission owner or its contractor does not comply with the requirements of Iowa Code section </w:t>
      </w:r>
      <w:hyperlink r:id="rId25">
        <w:r>
          <w:rPr>
            <w:rStyle w:val="Hyperlink"/>
            <w:rFonts w:ascii="Times New Roman" w:hAnsi="Times New Roman"/>
            <w:b w:val="false"/>
            <w:i w:val="false"/>
            <w:color w:val="000000"/>
            <w:sz w:val="24"/>
          </w:rPr>
          <w:t>478.34</w:t>
        </w:r>
      </w:hyperlink>
      <w:r>
        <w:rPr>
          <w:rFonts w:ascii="Times New Roman" w:hAnsi="Times New Roman"/>
          <w:b w:val="false"/>
          <w:i w:val="false"/>
          <w:color w:val="000000"/>
          <w:sz w:val="24"/>
        </w:rPr>
        <w:t xml:space="preserve">, with the land restoration plan, or with an independent agreement on land restoration, the commission may impose civil penalties pursuant to Iowa Code section </w:t>
      </w:r>
      <w:hyperlink r:id="rId26">
        <w:r>
          <w:rPr>
            <w:rStyle w:val="Hyperlink"/>
            <w:rFonts w:ascii="Times New Roman" w:hAnsi="Times New Roman"/>
            <w:b w:val="false"/>
            <w:i w:val="false"/>
            <w:color w:val="000000"/>
            <w:sz w:val="24"/>
          </w:rPr>
          <w:t>478.29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7">
        <w:r>
          <w:rPr>
            <w:rStyle w:val="Hyperlink"/>
            <w:rFonts w:ascii="Times New Roman" w:hAnsi="Times New Roman"/>
            <w:b w:val="false"/>
            <w:i w:val="false"/>
            <w:color w:val="000000"/>
            <w:sz w:val="24"/>
          </w:rPr>
          <w:t>478</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11.5(1)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11.5(1)</w:t>
      </w:r>
      <w:r>
        <w:rPr>
          <w:rFonts w:ascii="Times New Roman" w:hAnsi="Times New Roman"/>
          <w:b w:val="false"/>
          <w:i w:val="false"/>
          <w:color w:val="000000"/>
          <w:sz w:val="24"/>
        </w:rPr>
        <w:t> </w:t>
      </w:r>
      <w:r>
        <w:rPr>
          <w:rFonts w:ascii="Times New Roman" w:hAnsi="Times New Roman"/>
          <w:b w:val="false"/>
          <w:i/>
          <w:color w:val="000000"/>
          <w:sz w:val="24"/>
        </w:rPr>
        <w:t xml:space="preserve">Petition and exhibits. </w:t>
      </w:r>
      <w:r>
        <w:rPr>
          <w:rFonts w:ascii="Times New Roman" w:hAnsi="Times New Roman"/>
          <w:b w:val="false"/>
          <w:i w:val="false"/>
          <w:color w:val="000000"/>
          <w:sz w:val="24"/>
        </w:rPr>
        <w:t>A petition for a new franchise shall be filed on forms prescribed by the commission, be notarized, and have all required exhibits attached. The petition shall be attested to by an officer, official, or attorney with authority to represent the electric company. The following exhibits shall be filed with the petition: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i.</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Exhibit I. </w:t>
      </w:r>
      <w:r>
        <w:rPr>
          <w:rFonts w:ascii="Times New Roman" w:hAnsi="Times New Roman"/>
          <w:b w:val="false"/>
          <w:i w:val="false"/>
          <w:color w:val="000000"/>
          <w:sz w:val="24"/>
          <w:u w:val="single"/>
        </w:rPr>
        <w:t xml:space="preserve">If an electric transmission line, as defined in Iowa Code section </w:t>
      </w:r>
      <w:hyperlink r:id="rId28">
        <w:r>
          <w:rPr>
            <w:rStyle w:val="Hyperlink"/>
            <w:rFonts w:ascii="Times New Roman" w:hAnsi="Times New Roman"/>
            <w:b w:val="false"/>
            <w:i w:val="false"/>
            <w:color w:val="000000"/>
            <w:sz w:val="24"/>
            <w:u w:val="single"/>
          </w:rPr>
          <w:t>478.34</w:t>
        </w:r>
      </w:hyperlink>
      <w:r>
        <w:rPr>
          <w:rFonts w:ascii="Times New Roman" w:hAnsi="Times New Roman"/>
          <w:b w:val="false"/>
          <w:i w:val="false"/>
          <w:color w:val="000000"/>
          <w:sz w:val="24"/>
          <w:u w:val="single"/>
        </w:rPr>
        <w:t xml:space="preserve">, is proposed, a land restoration plan shall be prepared and filed as provided in </w:t>
      </w:r>
      <w:hyperlink r:id="rId29">
        <w:r>
          <w:rPr>
            <w:rStyle w:val="Hyperlink"/>
            <w:rFonts w:ascii="Times New Roman" w:hAnsi="Times New Roman"/>
            <w:b w:val="false"/>
            <w:i w:val="false"/>
            <w:color w:val="000000"/>
            <w:sz w:val="24"/>
            <w:u w:val="single"/>
          </w:rPr>
          <w:t>199—Chapter 8</w:t>
        </w:r>
      </w:hyperlink>
      <w:r>
        <w:rPr>
          <w:rFonts w:ascii="Times New Roman" w:hAnsi="Times New Roman"/>
          <w:b w:val="false"/>
          <w:i w:val="false"/>
          <w:color w:val="000000"/>
          <w:sz w:val="24"/>
          <w:u w:val="single"/>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i.</w:t>
      </w:r>
      <w:r>
        <w:rPr>
          <w:rFonts w:ascii="Times New Roman" w:hAnsi="Times New Roman"/>
          <w:b w:val="false"/>
          <w:i w:val="false"/>
          <w:color w:val="000000"/>
          <w:sz w:val="24"/>
        </w:rPr>
        <w:t xml:space="preserve"> </w:t>
      </w:r>
      <w:r>
        <w:rPr>
          <w:rFonts w:ascii="Times New Roman" w:hAnsi="Times New Roman"/>
          <w:b w:val="false"/>
          <w:i/>
          <w:color w:val="000000"/>
          <w:sz w:val="24"/>
          <w:u w:val="single"/>
        </w:rPr>
        <w:t>j.</w:t>
      </w:r>
      <w:r>
        <w:rPr>
          <w:rFonts w:ascii="Times New Roman" w:hAnsi="Times New Roman"/>
          <w:b w:val="false"/>
          <w:i/>
          <w:color w:val="000000"/>
          <w:sz w:val="24"/>
        </w:rPr>
        <w:t xml:space="preserve">Exhibit </w:t>
      </w:r>
      <w:r>
        <w:rPr>
          <w:rFonts w:ascii="Times New Roman" w:hAnsi="Times New Roman"/>
          <w:b w:val="false"/>
          <w:i/>
          <w:strike/>
          <w:color w:val="000000"/>
          <w:sz w:val="24"/>
        </w:rPr>
        <w:t>I</w:t>
      </w:r>
      <w:r>
        <w:rPr>
          <w:rFonts w:ascii="Times New Roman" w:hAnsi="Times New Roman"/>
          <w:b w:val="false"/>
          <w:i/>
          <w:color w:val="000000"/>
          <w:sz w:val="24"/>
          <w:u w:val="single"/>
        </w:rPr>
        <w:t> </w:t>
      </w:r>
      <w:r>
        <w:rPr>
          <w:rFonts w:ascii="Times New Roman" w:hAnsi="Times New Roman"/>
          <w:b w:val="false"/>
          <w:i/>
          <w:color w:val="000000"/>
          <w:sz w:val="24"/>
          <w:u w:val="single"/>
        </w:rPr>
        <w:t>J</w:t>
      </w:r>
      <w:r>
        <w:rPr>
          <w:rFonts w:ascii="Times New Roman" w:hAnsi="Times New Roman"/>
          <w:b w:val="false"/>
          <w:i/>
          <w:color w:val="000000"/>
          <w:sz w:val="24"/>
        </w:rPr>
        <w:t xml:space="preserve">. </w:t>
      </w:r>
      <w:r>
        <w:rPr>
          <w:rFonts w:ascii="Times New Roman" w:hAnsi="Times New Roman"/>
          <w:b w:val="false"/>
          <w:i w:val="false"/>
          <w:color w:val="000000"/>
          <w:sz w:val="24"/>
        </w:rPr>
        <w:t xml:space="preserve">This exhibit is required only for electric transmission lines with a maximum operating voltage of 170,000 volts or more. This exhibit shall contain an explanation for the electric company’s plan to comply with the noise limit set by </w:t>
      </w:r>
      <w:hyperlink r:id="rId30">
        <w:r>
          <w:rPr>
            <w:rStyle w:val="Hyperlink"/>
            <w:rFonts w:ascii="Times New Roman" w:hAnsi="Times New Roman"/>
            <w:b w:val="false"/>
            <w:i w:val="false"/>
            <w:color w:val="000000"/>
            <w:sz w:val="24"/>
          </w:rPr>
          <w:t>199—subrule 25.6(1)</w:t>
        </w:r>
      </w:hyperlink>
      <w:r>
        <w:rPr>
          <w:rFonts w:ascii="Times New Roman" w:hAnsi="Times New Roman"/>
          <w:b w:val="false"/>
          <w:i w:val="false"/>
          <w:color w:val="000000"/>
          <w:sz w:val="24"/>
        </w:rPr>
        <w:t>. The explanation shall include the assessment at the minimum conductor height and the maximum rms voltage.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j.</w:t>
      </w:r>
      <w:r>
        <w:rPr>
          <w:rFonts w:ascii="Times New Roman" w:hAnsi="Times New Roman"/>
          <w:b w:val="false"/>
          <w:i w:val="false"/>
          <w:color w:val="000000"/>
          <w:sz w:val="24"/>
        </w:rPr>
        <w:t xml:space="preserve"> </w:t>
      </w:r>
      <w:r>
        <w:rPr>
          <w:rFonts w:ascii="Times New Roman" w:hAnsi="Times New Roman"/>
          <w:b w:val="false"/>
          <w:i/>
          <w:color w:val="000000"/>
          <w:sz w:val="24"/>
          <w:u w:val="single"/>
        </w:rPr>
        <w:t>k.</w:t>
      </w:r>
      <w:r>
        <w:rPr>
          <w:rFonts w:ascii="Times New Roman" w:hAnsi="Times New Roman"/>
          <w:b w:val="false"/>
          <w:i/>
          <w:color w:val="000000"/>
          <w:sz w:val="24"/>
        </w:rPr>
        <w:t xml:space="preserve">Exhibit </w:t>
      </w:r>
      <w:r>
        <w:rPr>
          <w:rFonts w:ascii="Times New Roman" w:hAnsi="Times New Roman"/>
          <w:b w:val="false"/>
          <w:i/>
          <w:strike/>
          <w:color w:val="000000"/>
          <w:sz w:val="24"/>
        </w:rPr>
        <w:t>J</w:t>
      </w:r>
      <w:r>
        <w:rPr>
          <w:rFonts w:ascii="Times New Roman" w:hAnsi="Times New Roman"/>
          <w:b w:val="false"/>
          <w:i/>
          <w:color w:val="000000"/>
          <w:sz w:val="24"/>
          <w:u w:val="single"/>
        </w:rPr>
        <w:t> </w:t>
      </w:r>
      <w:r>
        <w:rPr>
          <w:rFonts w:ascii="Times New Roman" w:hAnsi="Times New Roman"/>
          <w:b w:val="false"/>
          <w:i/>
          <w:color w:val="000000"/>
          <w:sz w:val="24"/>
          <w:u w:val="single"/>
        </w:rPr>
        <w:t>K</w:t>
      </w:r>
      <w:r>
        <w:rPr>
          <w:rFonts w:ascii="Times New Roman" w:hAnsi="Times New Roman"/>
          <w:b w:val="false"/>
          <w:i/>
          <w:color w:val="000000"/>
          <w:sz w:val="24"/>
        </w:rPr>
        <w:t xml:space="preserve">. </w:t>
      </w:r>
      <w:r>
        <w:rPr>
          <w:rFonts w:ascii="Times New Roman" w:hAnsi="Times New Roman"/>
          <w:b w:val="false"/>
          <w:i w:val="false"/>
          <w:color w:val="000000"/>
          <w:sz w:val="24"/>
        </w:rPr>
        <w:t xml:space="preserve">This exhibit is required only for electric transmission lines with a maximum operating voltage of 170,000 volts or more. This exhibit shall contain an explanation for the electric company’s plan to comply with the maximum electric field strength limit set by </w:t>
      </w:r>
      <w:hyperlink r:id="rId31">
        <w:r>
          <w:rPr>
            <w:rStyle w:val="Hyperlink"/>
            <w:rFonts w:ascii="Times New Roman" w:hAnsi="Times New Roman"/>
            <w:b w:val="false"/>
            <w:i w:val="false"/>
            <w:color w:val="000000"/>
            <w:sz w:val="24"/>
          </w:rPr>
          <w:t>199—subrule 25.6(2)</w:t>
        </w:r>
      </w:hyperlink>
      <w:r>
        <w:rPr>
          <w:rFonts w:ascii="Times New Roman" w:hAnsi="Times New Roman"/>
          <w:b w:val="false"/>
          <w:i w:val="false"/>
          <w:color w:val="000000"/>
          <w:sz w:val="24"/>
        </w:rPr>
        <w:t>. The explanation shall include the assessment at the minimum conductor height and the maximum rms voltage.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k.</w:t>
      </w:r>
      <w:r>
        <w:rPr>
          <w:rFonts w:ascii="Times New Roman" w:hAnsi="Times New Roman"/>
          <w:b w:val="false"/>
          <w:i w:val="false"/>
          <w:color w:val="000000"/>
          <w:sz w:val="24"/>
        </w:rPr>
        <w:t xml:space="preserve"> </w:t>
      </w:r>
      <w:r>
        <w:rPr>
          <w:rFonts w:ascii="Times New Roman" w:hAnsi="Times New Roman"/>
          <w:b w:val="false"/>
          <w:i/>
          <w:color w:val="000000"/>
          <w:sz w:val="24"/>
          <w:u w:val="single"/>
        </w:rPr>
        <w:t>l.</w:t>
      </w:r>
      <w:r>
        <w:rPr>
          <w:rFonts w:ascii="Times New Roman" w:hAnsi="Times New Roman"/>
          <w:b w:val="false"/>
          <w:i/>
          <w:color w:val="000000"/>
          <w:sz w:val="24"/>
        </w:rPr>
        <w:t xml:space="preserve">Other exhibits. </w:t>
      </w:r>
      <w:r>
        <w:rPr>
          <w:rFonts w:ascii="Times New Roman" w:hAnsi="Times New Roman"/>
          <w:b w:val="false"/>
          <w:i w:val="false"/>
          <w:color w:val="000000"/>
          <w:sz w:val="24"/>
        </w:rPr>
        <w:t>The commission may require filing of additional exhibits if further information is deemed necessary.</w:t>
      </w:r>
    </w:p>
    <w:p>
      <w:pPr>
        <w:spacing w:before="0" w:after="0" w:line="480"/>
        <w:ind w:left="120"/>
        <w:jc w:val="left"/>
      </w:pPr>
      <w:bookmarkStart w:name="lastARC" w:id="2"/>
      <w:bookmarkEnd w:id="2"/>
    </w:p>
    <w:sectPr>
      <w:footerReference r:id="rId3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efs.iowa.gov" Type="http://schemas.openxmlformats.org/officeDocument/2006/relationships/hyperlink" Id="rId4"/>
    <Relationship TargetMode="External" Target="mailto:ITSupport@iuc.iowa.gov"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co/chapter/478.34.pdf" Type="http://schemas.openxmlformats.org/officeDocument/2006/relationships/hyperlink" Id="rId7"/>
    <Relationship TargetMode="External" Target="https://www.legis.iowa.gov/docs/ico/chapter/478.34.pdf" Type="http://schemas.openxmlformats.org/officeDocument/2006/relationships/hyperlink" Id="rId8"/>
    <Relationship TargetMode="External" Target="https://www.legis.iowa.gov/docs/ico/chapter/478.34.pdf" Type="http://schemas.openxmlformats.org/officeDocument/2006/relationships/hyperlink" Id="rId9"/>
    <Relationship TargetMode="External" Target="https://www.legis.iowa.gov/docs/ico/chapter/478.34.pdf" Type="http://schemas.openxmlformats.org/officeDocument/2006/relationships/hyperlink" Id="rId10"/>
    <Relationship TargetMode="External" Target="https://www.legis.iowa.gov/docs/ico/chapter/478.34.pdf" Type="http://schemas.openxmlformats.org/officeDocument/2006/relationships/hyperlink" Id="rId11"/>
    <Relationship TargetMode="External" Target="https://www.legis.iowa.gov/docs/iac/rule/199.11.5.pdf" Type="http://schemas.openxmlformats.org/officeDocument/2006/relationships/hyperlink" Id="rId12"/>
    <Relationship TargetMode="External" Target="https://www.legis.iowa.gov/docs/iac/rule/199.8.4.pdf" Type="http://schemas.openxmlformats.org/officeDocument/2006/relationships/hyperlink" Id="rId13"/>
    <Relationship TargetMode="External" Target="https://www.legis.iowa.gov/docs/iac/rule/199.8.5.pdf" Type="http://schemas.openxmlformats.org/officeDocument/2006/relationships/hyperlink" Id="rId14"/>
    <Relationship TargetMode="External" Target="https://www.legis.iowa.gov/docs/iac/rule/199.8.6.pdf" Type="http://schemas.openxmlformats.org/officeDocument/2006/relationships/hyperlink" Id="rId15"/>
    <Relationship TargetMode="External" Target="https://www.legis.iowa.gov/docs/iac/chapter/199.2504.pdf" Type="http://schemas.openxmlformats.org/officeDocument/2006/relationships/hyperlink" Id="rId16"/>
    <Relationship TargetMode="External" Target="https://www.legis.iowa.gov/docs/iac/rule/199.11.5.pdf" Type="http://schemas.openxmlformats.org/officeDocument/2006/relationships/hyperlink" Id="rId17"/>
    <Relationship TargetMode="External" Target="https://www.legis.iowa.gov/docs/iac/rule/199.8.5.pdf" Type="http://schemas.openxmlformats.org/officeDocument/2006/relationships/hyperlink" Id="rId18"/>
    <Relationship TargetMode="External" Target="https://www.legis.iowa.gov/docs/iac/rule/199.8.5.pdf" Type="http://schemas.openxmlformats.org/officeDocument/2006/relationships/hyperlink" Id="rId19"/>
    <Relationship TargetMode="External" Target="https://www.legis.iowa.gov/docs/iac/rule/199.8.5.pdf" Type="http://schemas.openxmlformats.org/officeDocument/2006/relationships/hyperlink" Id="rId20"/>
    <Relationship TargetMode="External" Target="https://www.legis.iowa.gov/docs/iac/rule/199.11.10.pdf" Type="http://schemas.openxmlformats.org/officeDocument/2006/relationships/hyperlink" Id="rId21"/>
    <Relationship TargetMode="External" Target="https://www.legis.iowa.gov/docs/ico/chapter/478.34.pdf" Type="http://schemas.openxmlformats.org/officeDocument/2006/relationships/hyperlink" Id="rId22"/>
    <Relationship TargetMode="External" Target="https://www.legis.iowa.gov/docs/iac/rule/199.8.8.pdf" Type="http://schemas.openxmlformats.org/officeDocument/2006/relationships/hyperlink" Id="rId23"/>
    <Relationship TargetMode="External" Target="https://www.legis.iowa.gov/docs/ico/chapter/478.34.pdf" Type="http://schemas.openxmlformats.org/officeDocument/2006/relationships/hyperlink" Id="rId24"/>
    <Relationship TargetMode="External" Target="https://www.legis.iowa.gov/docs/ico/chapter/478.34.pdf" Type="http://schemas.openxmlformats.org/officeDocument/2006/relationships/hyperlink" Id="rId25"/>
    <Relationship TargetMode="External" Target="https://www.legis.iowa.gov/docs/ico/chapter/478.29.pdf" Type="http://schemas.openxmlformats.org/officeDocument/2006/relationships/hyperlink" Id="rId26"/>
    <Relationship TargetMode="External" Target="https://www.legis.iowa.gov/docs/ico/chapter/478.pdf" Type="http://schemas.openxmlformats.org/officeDocument/2006/relationships/hyperlink" Id="rId27"/>
    <Relationship TargetMode="External" Target="https://www.legis.iowa.gov/docs/ico/chapter/478.34.pdf" Type="http://schemas.openxmlformats.org/officeDocument/2006/relationships/hyperlink" Id="rId28"/>
    <Relationship TargetMode="External" Target="https://www.legis.iowa.gov/docs/iac/chapter/199.8.pdf" Type="http://schemas.openxmlformats.org/officeDocument/2006/relationships/hyperlink" Id="rId29"/>
    <Relationship TargetMode="External" Target="https://www.legis.iowa.gov/docs/iac/rule/199.25.6.pdf" Type="http://schemas.openxmlformats.org/officeDocument/2006/relationships/hyperlink" Id="rId30"/>
    <Relationship TargetMode="External" Target="https://www.legis.iowa.gov/docs/iac/rule/199.25.6.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