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624D" w:id="1"/>
    <w:p>
      <w:pPr>
        <w:spacing w:before="0" w:after="0" w:line="480"/>
        <w:ind w:left="120"/>
        <w:jc w:val="right"/>
      </w:pPr>
      <w:r>
        <w:rPr>
          <w:rFonts w:ascii="Times New Roman" w:hAnsi="Times New Roman"/>
          <w:b/>
          <w:i w:val="false"/>
          <w:color w:val="000000"/>
          <w:sz w:val="28"/>
        </w:rPr>
        <w:t>ARC 0624D</w:t>
      </w:r>
    </w:p>
    <w:bookmarkEnd w:id="1"/>
    <w:p>
      <w:pPr>
        <w:pBdr>
          <w:top w:space="5"/>
        </w:pBdr>
        <w:spacing w:before="0" w:after="0" w:line="480"/>
        <w:ind w:left="120"/>
        <w:jc w:val="center"/>
      </w:pPr>
      <w:r>
        <w:rPr>
          <w:rFonts w:ascii="Times New Roman" w:hAnsi="Times New Roman"/>
          <w:b/>
          <w:i w:val="false"/>
          <w:color w:val="000000"/>
          <w:sz w:val="28"/>
        </w:rPr>
        <w:t>PUBLIC HEALTH DEPARTMENT[641]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medical cannabidiol program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proposes to amend Chapter 154, “Medical Cannabidiol Program,”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124E.</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124E and 2026 Iowa Acts, House File 990.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implements in part 2026 Iowa Acts, House File 990, by removing the residency requirement for patients participating in Iowa’s medical cannabidiol program. Previous law required patients served by the program to be permanent residents of the State of Iowa. As a result of eliminating the Iowa residency requirement for participation in the medical cannabidiol program, any otherwise qualified nonresident may apply for registration. The Department anticipates that the change will primarily impact qualified Nebraska residents since Nebraska is the only bordering state that does not currently have an operational medical or adult-use cannabis program. Although Nebraska has taken steps to establish a medical cannabidiol program, implementation has experienced significant delays and setbacks.</w:t>
      </w:r>
    </w:p>
    <w:p>
      <w:pPr>
        <w:spacing w:before="0" w:after="0" w:line="480"/>
        <w:ind w:left="120"/>
        <w:jc w:val="both"/>
      </w:pPr>
      <w:r>
        <w:rPr>
          <w:rFonts w:ascii="Times New Roman" w:hAnsi="Times New Roman"/>
          <w:b w:val="false"/>
          <w:i w:val="false"/>
          <w:color w:val="000000"/>
          <w:sz w:val="24"/>
        </w:rPr>
        <w:t>    In addition, this proposed rulemaking restores language inadvertently removed during the 2023 Red Tape Review process. Prior to the 2023 Red Tape Review, proof of veteran status qualified an applicant for a reduced patient application fee, lowering the fee from $100 to $25. This provision was inadvertently removed during the Red Tape Review process and is proposed to be restored. It is important to note that authorization for a lesser fee for veterans does not explicitly appear in Iowa Code chapter 124E; however, this reduced fee provision was previously discussed at a meeting of the Administrative Rules Review Committee (ARRC), and at the time, the ARRC agreed that a reduced fee was important and appropriate for those with veteran status.</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August 19,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September 8,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441—Chapter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October 20,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Victoria L. Daniels </w:t>
            </w:r>
            <w:r>
              <w:br/>
            </w:r>
            <w:r>
              <w:rPr>
                <w:rFonts w:ascii="Times New Roman" w:hAnsi="Times New Roman"/>
                <w:b w:val="false"/>
                <w:i w:val="false"/>
                <w:color w:val="000000"/>
                <w:sz w:val="14"/>
              </w:rPr>
              <w:t xml:space="preserve">Department of Health and Human Services </w:t>
            </w:r>
            <w:r>
              <w:br/>
            </w:r>
            <w:r>
              <w:rPr>
                <w:rFonts w:ascii="Times New Roman" w:hAnsi="Times New Roman"/>
                <w:b w:val="false"/>
                <w:i w:val="false"/>
                <w:color w:val="000000"/>
                <w:sz w:val="14"/>
              </w:rPr>
              <w:t>Lucas State Office Building</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515.829.6021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October 20, 2026</w:t>
            </w:r>
            <w:r>
              <w:br/>
            </w:r>
            <w:r>
              <w:rPr>
                <w:rFonts w:ascii="Times New Roman" w:hAnsi="Times New Roman"/>
                <w:b w:val="false"/>
                <w:i w:val="false"/>
                <w:color w:val="000000"/>
                <w:sz w:val="14"/>
              </w:rPr>
              <w:t xml:space="preserve"> 10 to 10:30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 xml:space="preserve"> Meeting ID: 219 881 050 919 125</w:t>
            </w:r>
            <w:r>
              <w:br/>
            </w:r>
            <w:r>
              <w:rPr>
                <w:rFonts w:ascii="Times New Roman" w:hAnsi="Times New Roman"/>
                <w:b w:val="false"/>
                <w:i w:val="false"/>
                <w:color w:val="000000"/>
                <w:sz w:val="14"/>
              </w:rPr>
              <w:t xml:space="preserve"> Passcode: DW7fd9aw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the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the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i w:val="false"/>
          <w:color w:val="000000"/>
          <w:sz w:val="24"/>
        </w:rPr>
        <w:t>641—154.1(124E)</w:t>
      </w:r>
      <w:r>
        <w:rPr>
          <w:rFonts w:ascii="Times New Roman" w:hAnsi="Times New Roman"/>
          <w:b w:val="false"/>
          <w:i w:val="false"/>
          <w:color w:val="000000"/>
          <w:sz w:val="24"/>
        </w:rPr>
        <w:t xml:space="preserve">, definitions of </w:t>
      </w:r>
      <w:r>
        <w:rPr>
          <w:rFonts w:ascii="Times New Roman" w:hAnsi="Times New Roman"/>
          <w:b w:val="false"/>
          <w:i w:val="false"/>
          <w:color w:val="000000"/>
          <w:sz w:val="24"/>
        </w:rPr>
        <w:t xml:space="preserve">“Medical assistance program,” </w:t>
      </w:r>
      <w:r>
        <w:rPr>
          <w:rFonts w:ascii="Times New Roman" w:hAnsi="Times New Roman"/>
          <w:b w:val="false"/>
          <w:i w:val="false"/>
          <w:color w:val="000000"/>
          <w:sz w:val="24"/>
        </w:rPr>
        <w:t xml:space="preserve">“Patient” and </w:t>
      </w:r>
      <w:r>
        <w:rPr>
          <w:rFonts w:ascii="Times New Roman" w:hAnsi="Times New Roman"/>
          <w:b w:val="false"/>
          <w:i w:val="false"/>
          <w:color w:val="000000"/>
          <w:sz w:val="24"/>
        </w:rPr>
        <w:t>“Valid photo identification,”</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“Medical assistance program”</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w:t>
      </w:r>
      <w:r>
        <w:rPr>
          <w:rFonts w:ascii="Times New Roman" w:hAnsi="Times New Roman"/>
          <w:b w:val="false"/>
          <w:i w:val="false"/>
          <w:strike/>
          <w:color w:val="000000"/>
          <w:sz w:val="24"/>
        </w:rPr>
        <w:t>IA Health Link, Medicaid Fee-for-Service, or hawki,</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 medical assistance program</w:t>
      </w:r>
      <w:r>
        <w:rPr>
          <w:rFonts w:ascii="Times New Roman" w:hAnsi="Times New Roman"/>
          <w:b w:val="false"/>
          <w:i w:val="false"/>
          <w:color w:val="000000"/>
          <w:sz w:val="24"/>
        </w:rPr>
        <w:t xml:space="preserve"> as administered by </w:t>
      </w:r>
      <w:r>
        <w:rPr>
          <w:rFonts w:ascii="Times New Roman" w:hAnsi="Times New Roman"/>
          <w:b w:val="false"/>
          <w:i w:val="false"/>
          <w:strike/>
          <w:color w:val="000000"/>
          <w:sz w:val="24"/>
        </w:rPr>
        <w:t>the Iowa</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 state, territory, or district</w:t>
      </w:r>
      <w:r>
        <w:rPr>
          <w:rFonts w:ascii="Times New Roman" w:hAnsi="Times New Roman"/>
          <w:b w:val="false"/>
          <w:i w:val="false"/>
          <w:color w:val="000000"/>
          <w:sz w:val="24"/>
        </w:rPr>
        <w:t xml:space="preserve"> Medicaid </w:t>
      </w:r>
      <w:r>
        <w:rPr>
          <w:rFonts w:ascii="Times New Roman" w:hAnsi="Times New Roman"/>
          <w:b w:val="false"/>
          <w:i w:val="false"/>
          <w:strike/>
          <w:color w:val="000000"/>
          <w:sz w:val="24"/>
        </w:rPr>
        <w:t>enterprise of the department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program</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“Patient”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person </w:t>
      </w:r>
      <w:r>
        <w:rPr>
          <w:rFonts w:ascii="Times New Roman" w:hAnsi="Times New Roman"/>
          <w:b w:val="false"/>
          <w:i w:val="false"/>
          <w:strike/>
          <w:color w:val="000000"/>
          <w:sz w:val="24"/>
        </w:rPr>
        <w:t>who is a permanent resident of the state of Iowa</w:t>
      </w:r>
      <w:r>
        <w:rPr>
          <w:rFonts w:ascii="Times New Roman" w:hAnsi="Times New Roman"/>
          <w:b w:val="false"/>
          <w:i w:val="false"/>
          <w:color w:val="000000"/>
          <w:sz w:val="24"/>
        </w:rPr>
        <w:t xml:space="preserve"> who suffers from a debilitating medical condition that qualifies for the use of medical cannabidiol pursuant to Iowa Code chapter </w:t>
      </w:r>
      <w:hyperlink r:id="rId6">
        <w:r>
          <w:rPr>
            <w:rStyle w:val="Hyperlink"/>
            <w:rFonts w:ascii="Times New Roman" w:hAnsi="Times New Roman"/>
            <w:b w:val="false"/>
            <w:i w:val="false"/>
            <w:color w:val="000000"/>
            <w:sz w:val="24"/>
          </w:rPr>
          <w:t>124E</w:t>
        </w:r>
      </w:hyperlink>
      <w:r>
        <w:rPr>
          <w:rFonts w:ascii="Times New Roman" w:hAnsi="Times New Roman"/>
          <w:b w:val="false"/>
          <w:i w:val="false"/>
          <w:color w:val="000000"/>
          <w:sz w:val="24"/>
        </w:rPr>
        <w:t xml:space="preserve"> and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“Valid photo identification”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any of the following for a patient or primary caregiver: (1) a valid </w:t>
      </w:r>
      <w:r>
        <w:rPr>
          <w:rFonts w:ascii="Times New Roman" w:hAnsi="Times New Roman"/>
          <w:b w:val="false"/>
          <w:i w:val="false"/>
          <w:strike/>
          <w:color w:val="000000"/>
          <w:sz w:val="24"/>
        </w:rPr>
        <w:t>Iowa</w:t>
      </w:r>
      <w:r>
        <w:rPr>
          <w:rFonts w:ascii="Times New Roman" w:hAnsi="Times New Roman"/>
          <w:b w:val="false"/>
          <w:i w:val="false"/>
          <w:color w:val="000000"/>
          <w:sz w:val="24"/>
        </w:rPr>
        <w:t xml:space="preserve"> driver’s license, (2) a valid </w:t>
      </w:r>
      <w:r>
        <w:rPr>
          <w:rFonts w:ascii="Times New Roman" w:hAnsi="Times New Roman"/>
          <w:b w:val="false"/>
          <w:i w:val="false"/>
          <w:strike/>
          <w:color w:val="000000"/>
          <w:sz w:val="24"/>
        </w:rPr>
        <w:t>Iowa</w:t>
      </w:r>
      <w:r>
        <w:rPr>
          <w:rFonts w:ascii="Times New Roman" w:hAnsi="Times New Roman"/>
          <w:b w:val="false"/>
          <w:i w:val="false"/>
          <w:color w:val="000000"/>
          <w:sz w:val="24"/>
        </w:rPr>
        <w:t xml:space="preserve"> nonoperator’s identification card, or (3) an alternative form of valid photo identification. An individual who possesses or is eligible for a driver’s license or a nonoperator’s identification card shall present such document as valid photo identification. An individual who is ineligible to obtain a driver’s license or a nonoperator’s identification card may apply for an exemption and request submission of an alternative form of valid photo identification. An individual who applies for an exemption is subject to verification of the primary caregiver’s identity through a process established by the department to ensure the genuineness, regularity, and legality of the alternative form of valid photo identification.</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154.3(3)</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154.3(3)</w:t>
      </w:r>
      <w:r>
        <w:rPr>
          <w:rFonts w:ascii="Times New Roman" w:hAnsi="Times New Roman"/>
          <w:b w:val="false"/>
          <w:i w:val="false"/>
          <w:color w:val="000000"/>
          <w:sz w:val="24"/>
        </w:rPr>
        <w:t> </w:t>
      </w:r>
      <w:r>
        <w:rPr>
          <w:rFonts w:ascii="Times New Roman" w:hAnsi="Times New Roman"/>
          <w:b w:val="false"/>
          <w:i w:val="false"/>
          <w:color w:val="000000"/>
          <w:sz w:val="24"/>
        </w:rPr>
        <w:t>A registration card issued to a patient shall contain all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patient’s full legal name, </w:t>
      </w:r>
      <w:r>
        <w:rPr>
          <w:rFonts w:ascii="Times New Roman" w:hAnsi="Times New Roman"/>
          <w:b w:val="false"/>
          <w:i w:val="false"/>
          <w:strike/>
          <w:color w:val="000000"/>
          <w:sz w:val="24"/>
        </w:rPr>
        <w:t>Iowa</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current</w:t>
      </w:r>
      <w:r>
        <w:rPr>
          <w:rFonts w:ascii="Times New Roman" w:hAnsi="Times New Roman"/>
          <w:b w:val="false"/>
          <w:i w:val="false"/>
          <w:color w:val="000000"/>
          <w:sz w:val="24"/>
        </w:rPr>
        <w:t xml:space="preserve"> residence address, date of birth, and sex, as shown on the patient’s valid photo identification. If the patient’s information has changed since the issuance of the patient’s valid photo identification, the patient shall first update the patient’s valid identification to reflect the patient’s current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641—154.11(124E)</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641—154.11</w:t>
      </w:r>
      <w:r>
        <w:rPr>
          <w:rFonts w:ascii="Times New Roman" w:hAnsi="Times New Roman"/>
          <w:b/>
          <w:i w:val="false"/>
          <w:color w:val="000000"/>
          <w:sz w:val="24"/>
        </w:rPr>
        <w:t xml:space="preserve">(124E) </w:t>
      </w:r>
      <w:r>
        <w:rPr>
          <w:rFonts w:ascii="Times New Roman" w:hAnsi="Times New Roman"/>
          <w:b/>
          <w:i w:val="false"/>
          <w:strike/>
          <w:color w:val="000000"/>
          <w:sz w:val="24"/>
        </w:rPr>
        <w:t>Fees</w:t>
      </w:r>
      <w:r>
        <w:rPr>
          <w:rFonts w:ascii="Times New Roman" w:hAnsi="Times New Roman"/>
          <w:b/>
          <w:i w:val="false"/>
          <w:color w:val="000000"/>
          <w:sz w:val="24"/>
          <w:u w:val="single"/>
        </w:rPr>
        <w:t> </w:t>
      </w:r>
      <w:r>
        <w:rPr>
          <w:rFonts w:ascii="Times New Roman" w:hAnsi="Times New Roman"/>
          <w:b/>
          <w:i w:val="false"/>
          <w:color w:val="000000"/>
          <w:sz w:val="24"/>
          <w:u w:val="single"/>
        </w:rPr>
        <w:t>Registration card fees</w:t>
      </w:r>
      <w:r>
        <w:rPr>
          <w:rFonts w:ascii="Times New Roman" w:hAnsi="Times New Roman"/>
          <w:b/>
          <w:i w:val="false"/>
          <w:color w:val="000000"/>
          <w:sz w:val="24"/>
        </w:rPr>
        <w:t xml:space="preserve">. </w:t>
      </w:r>
      <w:r>
        <w:rPr>
          <w:rFonts w:ascii="Times New Roman" w:hAnsi="Times New Roman"/>
          <w:b w:val="false"/>
          <w:i w:val="false"/>
          <w:color w:val="000000"/>
          <w:sz w:val="24"/>
        </w:rPr>
        <w:t>All</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registration card</w:t>
      </w:r>
      <w:r>
        <w:rPr>
          <w:rFonts w:ascii="Times New Roman" w:hAnsi="Times New Roman"/>
          <w:b w:val="false"/>
          <w:i w:val="false"/>
          <w:color w:val="000000"/>
          <w:sz w:val="24"/>
        </w:rPr>
        <w:t xml:space="preserve"> fees are nonrefundable. </w:t>
      </w:r>
      <w:r>
        <w:rPr>
          <w:rFonts w:ascii="Times New Roman" w:hAnsi="Times New Roman"/>
          <w:b w:val="false"/>
          <w:i w:val="false"/>
          <w:strike/>
          <w:color w:val="000000"/>
          <w:sz w:val="24"/>
        </w:rPr>
        <w:t xml:space="preserve">Application fees are established in Iowa Code section </w:t>
      </w:r>
      <w:hyperlink r:id="rId7">
        <w:r>
          <w:rPr>
            <w:rStyle w:val="Hyperlink"/>
            <w:rFonts w:ascii="Times New Roman" w:hAnsi="Times New Roman"/>
            <w:b w:val="false"/>
            <w:i w:val="false"/>
            <w:strike/>
            <w:color w:val="000000"/>
            <w:sz w:val="24"/>
          </w:rPr>
          <w:t>124E.4</w:t>
        </w:r>
      </w:hyperlink>
      <w:r>
        <w:rPr>
          <w:rFonts w:ascii="Times New Roman" w:hAnsi="Times New Roman"/>
          <w:b w:val="false"/>
          <w:i w:val="false"/>
          <w:strik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u w:val="single"/>
        </w:rPr>
        <w:t>154.11(1)</w:t>
      </w:r>
      <w:r>
        <w:rPr>
          <w:rFonts w:ascii="Times New Roman" w:hAnsi="Times New Roman"/>
          <w:b w:val="false"/>
          <w:i w:val="false"/>
          <w:color w:val="000000"/>
          <w:sz w:val="24"/>
          <w:u w:val="single"/>
        </w:rPr>
        <w:t> </w:t>
      </w:r>
      <w:r>
        <w:rPr>
          <w:rFonts w:ascii="Times New Roman" w:hAnsi="Times New Roman"/>
          <w:b w:val="false"/>
          <w:i/>
          <w:color w:val="000000"/>
          <w:sz w:val="24"/>
          <w:u w:val="single"/>
        </w:rPr>
        <w:t xml:space="preserve">Patient medical cannabidiol registration card fee.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a.</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A registration card fee of $100 applies to all patients unless the patient qualifies for a reduced patient registration card fee under paragraph </w:t>
      </w:r>
      <w:hyperlink r:id="rId8">
        <w:r>
          <w:rPr>
            <w:rStyle w:val="Hyperlink"/>
            <w:rFonts w:ascii="Times New Roman" w:hAnsi="Times New Roman"/>
            <w:b w:val="false"/>
            <w:i w:val="false"/>
            <w:color w:val="000000"/>
            <w:sz w:val="24"/>
            <w:u w:val="single"/>
          </w:rPr>
          <w:t>154.11(1)</w:t>
        </w:r>
      </w:hyperlink>
      <w:r>
        <w:rPr>
          <w:rFonts w:ascii="Times New Roman" w:hAnsi="Times New Roman"/>
          <w:b w:val="false"/>
          <w:i/>
          <w:color w:val="000000"/>
          <w:sz w:val="24"/>
          <w:u w:val="single"/>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b.</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If a patient attests to receiving social security disability benefits, supplemental security insurance payments, enrollment in a medical assistance program, or military veteran status, the patient registration card fee is reduced to $25.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u w:val="single"/>
        </w:rPr>
        <w:t>154.11(2)</w:t>
      </w:r>
      <w:r>
        <w:rPr>
          <w:rFonts w:ascii="Times New Roman" w:hAnsi="Times New Roman"/>
          <w:b w:val="false"/>
          <w:i w:val="false"/>
          <w:color w:val="000000"/>
          <w:sz w:val="24"/>
          <w:u w:val="single"/>
        </w:rPr>
        <w:t> </w:t>
      </w:r>
      <w:r>
        <w:rPr>
          <w:rFonts w:ascii="Times New Roman" w:hAnsi="Times New Roman"/>
          <w:b w:val="false"/>
          <w:i/>
          <w:color w:val="000000"/>
          <w:sz w:val="24"/>
          <w:u w:val="single"/>
        </w:rPr>
        <w:t xml:space="preserve">Primary caregiver medical cannabidiol registration card and renewal fees.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a.</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 registration card fee of $25 applies to all primary caregivers.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b.</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 renewal fee of $25 applies to all primary caregivers.</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154.39(2)“a”</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Verify the patient or primary caregiver’s identity using acceptable photo identification and that the patient or primary caregiver is over 18 years of age. Acceptable photo identification includes: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 valid </w:t>
      </w:r>
      <w:r>
        <w:rPr>
          <w:rFonts w:ascii="Times New Roman" w:hAnsi="Times New Roman"/>
          <w:b w:val="false"/>
          <w:i w:val="false"/>
          <w:strike/>
          <w:color w:val="000000"/>
          <w:sz w:val="24"/>
        </w:rPr>
        <w:t>Iowa</w:t>
      </w:r>
      <w:r>
        <w:rPr>
          <w:rFonts w:ascii="Times New Roman" w:hAnsi="Times New Roman"/>
          <w:b w:val="false"/>
          <w:i w:val="false"/>
          <w:color w:val="000000"/>
          <w:sz w:val="24"/>
        </w:rPr>
        <w:t xml:space="preserve"> driver’s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 valid </w:t>
      </w:r>
      <w:r>
        <w:rPr>
          <w:rFonts w:ascii="Times New Roman" w:hAnsi="Times New Roman"/>
          <w:b w:val="false"/>
          <w:i w:val="false"/>
          <w:strike/>
          <w:color w:val="000000"/>
          <w:sz w:val="24"/>
        </w:rPr>
        <w:t>Iowa</w:t>
      </w:r>
      <w:r>
        <w:rPr>
          <w:rFonts w:ascii="Times New Roman" w:hAnsi="Times New Roman"/>
          <w:b w:val="false"/>
          <w:i w:val="false"/>
          <w:color w:val="000000"/>
          <w:sz w:val="24"/>
        </w:rPr>
        <w:t xml:space="preserve"> nonoperator’s identification card;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left"/>
      </w:pPr>
      <w:bookmarkStart w:name="lastARC" w:id="2"/>
      <w:bookmarkEnd w:id="2"/>
    </w:p>
    <w:sectPr>
      <w:footerReference r:id="rId9"/>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124E.pdf" Type="http://schemas.openxmlformats.org/officeDocument/2006/relationships/hyperlink" Id="rId6"/>
    <Relationship TargetMode="External" Target="https://www.legis.iowa.gov/docs/ico/chapter/124E.4.pdf" Type="http://schemas.openxmlformats.org/officeDocument/2006/relationships/hyperlink" Id="rId7"/>
    <Relationship TargetMode="External" Target="https://www.legis.iowa.gov/docs/iac/rule/641.154.11.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