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622D" w:id="1"/>
    <w:p>
      <w:pPr>
        <w:spacing w:before="0" w:after="0" w:line="480"/>
        <w:ind w:left="120"/>
        <w:jc w:val="right"/>
      </w:pPr>
      <w:r>
        <w:rPr>
          <w:rFonts w:ascii="Times New Roman" w:hAnsi="Times New Roman"/>
          <w:b/>
          <w:i w:val="false"/>
          <w:color w:val="000000"/>
          <w:sz w:val="28"/>
        </w:rPr>
        <w:t>ARC 0622D</w:t>
      </w:r>
    </w:p>
    <w:bookmarkEnd w:id="1"/>
    <w:p>
      <w:pPr>
        <w:pBdr>
          <w:top w:space="5"/>
        </w:pBdr>
        <w:spacing w:before="0" w:after="0" w:line="480"/>
        <w:ind w:left="120"/>
        <w:jc w:val="center"/>
      </w:pPr>
      <w:r>
        <w:rPr>
          <w:rFonts w:ascii="Times New Roman" w:hAnsi="Times New Roman"/>
          <w:b/>
          <w:i w:val="false"/>
          <w:color w:val="000000"/>
          <w:sz w:val="28"/>
        </w:rPr>
        <w:t>PUBLIC HEALTH DEPARTMENT[641]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perinatal health care and smokefree air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proposes to amend Chapter 150, “Iowa Regionalized System of Perinatal Health Care,” and Chapter 153, “Smokefree Air,”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135.11(22) and 142D.8(1).</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142D and section 135.11(22).</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corrects inadvertent errors and omissions from earlier chapter repromulgations.</w:t>
      </w:r>
    </w:p>
    <w:p>
      <w:pPr>
        <w:spacing w:before="0" w:after="0" w:line="480"/>
        <w:ind w:left="120"/>
        <w:jc w:val="both"/>
      </w:pPr>
      <w:r>
        <w:rPr>
          <w:rFonts w:ascii="Times New Roman" w:hAnsi="Times New Roman"/>
          <w:b w:val="false"/>
          <w:i w:val="false"/>
          <w:color w:val="000000"/>
          <w:sz w:val="24"/>
        </w:rPr>
        <w:t>    During the 2024 Red Tape Review of Chapter 150, the reverification cycle for hospital level of care designation within the regionalized system of perinatal health care was changed from every three years to every six years. While the term was changed in subrule 150.5(3), the Department inadvertently did not make the corresponding change to the definition of “reverification” in rule 641—150.2(135). This proposed rulemaking corrects that oversight.</w:t>
      </w:r>
    </w:p>
    <w:p>
      <w:pPr>
        <w:spacing w:before="0" w:after="0" w:line="480"/>
        <w:ind w:left="120"/>
        <w:jc w:val="both"/>
      </w:pPr>
      <w:r>
        <w:rPr>
          <w:rFonts w:ascii="Times New Roman" w:hAnsi="Times New Roman"/>
          <w:b w:val="false"/>
          <w:i w:val="false"/>
          <w:color w:val="000000"/>
          <w:sz w:val="24"/>
        </w:rPr>
        <w:t>    During the 2023 Red Tape Review of Chapter 153, the Department deleted the definition of “retail tobacco store” because it was repeated verbatim from Iowa Code chapter 142D. With the definition of “retail tobacco store” deleted, the Department also deleted the definition of “incidental to the sale of tobacco products” because it contained the term “retail tobacco store.” The Department’s philosophy on Red Tape Reviews has evolved since 2023, and rather than delete a definition that is verbatim from the Iowa Code, the Department would now keep the definition and cite the corresponding Iowa Code section. This proposed rulemaking restores the definition of “retail tobacco store,” citing Iowa Code chapter 142D, and restores the definition of “incidental to the sale of tobacco products.” Both definitions are critical to the Department’s enforcement of the Smokefree Air Act outlined in Iowa Code chapter 142D.</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August 19,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September 8,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441—Chapter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October 20,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Victoria L. Daniels </w:t>
            </w:r>
            <w:r>
              <w:br/>
            </w:r>
            <w:r>
              <w:rPr>
                <w:rFonts w:ascii="Times New Roman" w:hAnsi="Times New Roman"/>
                <w:b w:val="false"/>
                <w:i w:val="false"/>
                <w:color w:val="000000"/>
                <w:sz w:val="14"/>
              </w:rPr>
              <w:t xml:space="preserve">Department of Health and Human Services </w:t>
            </w:r>
            <w:r>
              <w:br/>
            </w:r>
            <w:r>
              <w:rPr>
                <w:rFonts w:ascii="Times New Roman" w:hAnsi="Times New Roman"/>
                <w:b w:val="false"/>
                <w:i w:val="false"/>
                <w:color w:val="000000"/>
                <w:sz w:val="14"/>
              </w:rPr>
              <w:t>Lucas State Office Building</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515.829.6021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20, 2026</w:t>
            </w:r>
            <w:r>
              <w:br/>
            </w:r>
            <w:r>
              <w:rPr>
                <w:rFonts w:ascii="Times New Roman" w:hAnsi="Times New Roman"/>
                <w:b w:val="false"/>
                <w:i w:val="false"/>
                <w:color w:val="000000"/>
                <w:sz w:val="14"/>
              </w:rPr>
              <w:t xml:space="preserve"> 10 to 10:29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 xml:space="preserve"> Meeting ID: 219 881 050 919 125</w:t>
            </w:r>
            <w:r>
              <w:br/>
            </w:r>
            <w:r>
              <w:rPr>
                <w:rFonts w:ascii="Times New Roman" w:hAnsi="Times New Roman"/>
                <w:b w:val="false"/>
                <w:i w:val="false"/>
                <w:color w:val="000000"/>
                <w:sz w:val="14"/>
              </w:rPr>
              <w:t xml:space="preserve"> Passcode: DW7fd9aw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the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the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i w:val="false"/>
          <w:color w:val="000000"/>
          <w:sz w:val="24"/>
        </w:rPr>
        <w:t>641—150.2(135)</w:t>
      </w:r>
      <w:r>
        <w:rPr>
          <w:rFonts w:ascii="Times New Roman" w:hAnsi="Times New Roman"/>
          <w:b w:val="false"/>
          <w:i w:val="false"/>
          <w:color w:val="000000"/>
          <w:sz w:val="24"/>
        </w:rPr>
        <w:t xml:space="preserve">, definition of </w:t>
      </w:r>
      <w:r>
        <w:rPr>
          <w:rFonts w:ascii="Times New Roman" w:hAnsi="Times New Roman"/>
          <w:b w:val="false"/>
          <w:i w:val="false"/>
          <w:color w:val="000000"/>
          <w:sz w:val="24"/>
        </w:rPr>
        <w:t>“Reverification,”</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“Reverification”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process of periodic review, conducted at least every </w:t>
      </w:r>
      <w:r>
        <w:rPr>
          <w:rFonts w:ascii="Times New Roman" w:hAnsi="Times New Roman"/>
          <w:b w:val="false"/>
          <w:i w:val="false"/>
          <w:strike/>
          <w:color w:val="000000"/>
          <w:sz w:val="24"/>
        </w:rPr>
        <w:t>three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six</w:t>
      </w:r>
      <w:r>
        <w:rPr>
          <w:rFonts w:ascii="Times New Roman" w:hAnsi="Times New Roman"/>
          <w:b w:val="false"/>
          <w:i w:val="false"/>
          <w:color w:val="000000"/>
          <w:sz w:val="24"/>
        </w:rPr>
        <w:t xml:space="preserve"> years, to certify that a hospital has maintained its designated level of care in accordance with criteria established under these rules for hospitals that are participating in the regionalized system of perinatal health care.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definitions of </w:t>
      </w:r>
      <w:r>
        <w:rPr>
          <w:rFonts w:ascii="Times New Roman" w:hAnsi="Times New Roman"/>
          <w:b w:val="false"/>
          <w:i w:val="false"/>
          <w:color w:val="000000"/>
          <w:sz w:val="24"/>
        </w:rPr>
        <w:t xml:space="preserve">“Incidental to the sale of tobacco products” and </w:t>
      </w:r>
      <w:r>
        <w:rPr>
          <w:rFonts w:ascii="Times New Roman" w:hAnsi="Times New Roman"/>
          <w:b w:val="false"/>
          <w:i w:val="false"/>
          <w:color w:val="000000"/>
          <w:sz w:val="24"/>
        </w:rPr>
        <w:t>“Retail tobacco store”</w:t>
      </w:r>
      <w:r>
        <w:rPr>
          <w:rFonts w:ascii="Times New Roman" w:hAnsi="Times New Roman"/>
          <w:b w:val="false"/>
          <w:i w:val="false"/>
          <w:color w:val="000000"/>
          <w:sz w:val="24"/>
        </w:rPr>
        <w:t xml:space="preserve"> in rule </w:t>
      </w:r>
      <w:r>
        <w:rPr>
          <w:rFonts w:ascii="Times New Roman" w:hAnsi="Times New Roman"/>
          <w:b/>
          <w:i w:val="false"/>
          <w:color w:val="000000"/>
          <w:sz w:val="24"/>
        </w:rPr>
        <w:t>641—153.1(142D)</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“Incidental to the sale of tobacco products”</w:t>
      </w:r>
      <w:r>
        <w:rPr>
          <w:rFonts w:ascii="Times New Roman" w:hAnsi="Times New Roman"/>
          <w:b w:val="false"/>
          <w:i w:val="false"/>
          <w:color w:val="000000"/>
          <w:sz w:val="24"/>
        </w:rPr>
        <w:t> </w:t>
      </w:r>
      <w:r>
        <w:rPr>
          <w:rFonts w:ascii="Times New Roman" w:hAnsi="Times New Roman"/>
          <w:b w:val="false"/>
          <w:i w:val="false"/>
          <w:color w:val="000000"/>
          <w:sz w:val="24"/>
        </w:rPr>
        <w:t>means that the gross revenue of a retail tobacco store derived from the sale of products other than tobacco products is not more than 20 percent of the retail tobacco store’s total gross revenue.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“Retail tobacco store”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chapter </w:t>
      </w:r>
      <w:hyperlink r:id="rId6">
        <w:r>
          <w:rPr>
            <w:rStyle w:val="Hyperlink"/>
            <w:rFonts w:ascii="Times New Roman" w:hAnsi="Times New Roman"/>
            <w:b w:val="false"/>
            <w:i w:val="false"/>
            <w:color w:val="000000"/>
            <w:sz w:val="24"/>
          </w:rPr>
          <w:t>142D</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142D.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