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0D" w:id="1"/>
    <w:p>
      <w:pPr>
        <w:spacing w:before="0" w:after="0" w:line="480"/>
        <w:ind w:left="120"/>
        <w:jc w:val="right"/>
      </w:pPr>
      <w:r>
        <w:rPr>
          <w:rFonts w:ascii="Times New Roman" w:hAnsi="Times New Roman"/>
          <w:b/>
          <w:i w:val="false"/>
          <w:color w:val="000000"/>
          <w:sz w:val="28"/>
        </w:rPr>
        <w:t>ARC 0620D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amount, duration and scope of medical and remedial services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78, “Amount, Duration and Scope of Medical and Remedial Services,”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allows rural health clinics (RHCs) to receive Medicaid reimbursement for the provision of dental services. The services would be provided by local dentists who contract with the RHCs.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Based upon a 2.94 percent RHC opt-in estimate, there would be a total cost increase of  $3,934,581.43, with $2,736,894.84 being federal and $1,197,686.59 being State.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This proposed rulemaking may positively impact small dental providers by enabling them to receive reimbursement for services provided at RHCs.</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78.21(4)</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78.21(4)</w:t>
      </w:r>
      <w:r>
        <w:rPr>
          <w:rFonts w:ascii="Times New Roman" w:hAnsi="Times New Roman"/>
          <w:b w:val="false"/>
          <w:i w:val="false"/>
          <w:color w:val="000000"/>
          <w:sz w:val="24"/>
        </w:rPr>
        <w:t> </w:t>
      </w:r>
      <w:r>
        <w:rPr>
          <w:rFonts w:ascii="Times New Roman" w:hAnsi="Times New Roman"/>
          <w:b w:val="false"/>
          <w:i/>
          <w:color w:val="000000"/>
          <w:sz w:val="24"/>
        </w:rPr>
        <w:t xml:space="preserve">Dental services. </w:t>
      </w:r>
      <w:r>
        <w:rPr>
          <w:rFonts w:ascii="Times New Roman" w:hAnsi="Times New Roman"/>
          <w:b w:val="false"/>
          <w:i w:val="false"/>
          <w:color w:val="000000"/>
          <w:sz w:val="24"/>
        </w:rPr>
        <w:t xml:space="preserve">Payment will be made to rural health clinics for dental services payable under Iowa Medicaid’s dental wellness plan as described in </w:t>
      </w:r>
      <w:hyperlink r:id="rId6">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41.7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