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18D" w:id="1"/>
    <w:p>
      <w:pPr>
        <w:spacing w:before="0" w:after="0" w:line="480"/>
        <w:ind w:left="120"/>
        <w:jc w:val="right"/>
      </w:pPr>
      <w:r>
        <w:rPr>
          <w:rFonts w:ascii="Times New Roman" w:hAnsi="Times New Roman"/>
          <w:b/>
          <w:i w:val="false"/>
          <w:color w:val="000000"/>
          <w:sz w:val="28"/>
        </w:rPr>
        <w:t>ARC 0618D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certificate of need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amend Chapter 123, “Certificate of Need Program,” and Chapter 124, “Standards for Certificate of Need Review,”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135.71.</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135.71 and 2026 Iowa Acts, House File 2635.</w:t>
      </w:r>
    </w:p>
    <w:p>
      <w:pPr>
        <w:pBdr>
          <w:top w:space="2"/>
        </w:pBdr>
        <w:spacing w:before="0" w:after="0" w:line="480"/>
        <w:ind w:left="120"/>
        <w:jc w:val="center"/>
      </w:pPr>
      <w:r>
        <w:rPr>
          <w:rFonts w:ascii="Times New Roman" w:hAnsi="Times New Roman"/>
          <w:b w:val="false"/>
          <w:i/>
          <w:color w:val="000000"/>
          <w:sz w:val="24"/>
        </w:rPr>
        <w:t>Purpose and Summary</w:t>
      </w:r>
    </w:p>
    <w:p>
      <w:pPr>
        <w:spacing w:before="0" w:after="0" w:line="480"/>
        <w:ind w:left="120"/>
        <w:jc w:val="both"/>
      </w:pPr>
      <w:r>
        <w:rPr>
          <w:rFonts w:ascii="Times New Roman" w:hAnsi="Times New Roman"/>
          <w:b w:val="false"/>
          <w:i w:val="false"/>
          <w:color w:val="000000"/>
          <w:sz w:val="24"/>
        </w:rPr>
        <w:t>    The purpose of this proposed rulemaking is to implement the provisions of 2026 Iowa Acts, House File 2635, which changes the requirements for obtaining a certificate of need by, among other things: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Eliminating the requirement to submit a letter of intent;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Eliminating the requirement for a public hearing; and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Excluding the following from the certificate of need requirement: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Cardiac catheterization service;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Open heart surgical service;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Organ transplantation service; and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Some radiation therapy services for the treatment of malignant disease.</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19,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8,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October 20,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Victoria L. Daniels </w:t>
            </w:r>
            <w:r>
              <w:br/>
            </w:r>
            <w:r>
              <w:rPr>
                <w:rFonts w:ascii="Times New Roman" w:hAnsi="Times New Roman"/>
                <w:b w:val="false"/>
                <w:i w:val="false"/>
                <w:color w:val="000000"/>
                <w:sz w:val="14"/>
              </w:rPr>
              <w:t xml:space="preserve">Department of Health and Human Services </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515.829.6021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 xml:space="preserve"> 10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 Meeting ID: 219 881 050 919 125</w:t>
            </w:r>
            <w:r>
              <w:br/>
            </w:r>
            <w:r>
              <w:rPr>
                <w:rFonts w:ascii="Times New Roman" w:hAnsi="Times New Roman"/>
                <w:b w:val="false"/>
                <w:i w:val="false"/>
                <w:color w:val="000000"/>
                <w:sz w:val="14"/>
              </w:rPr>
              <w:t xml:space="preserve"> Passcode: DW7fd9aw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441—123.1(135)</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441—123.1</w:t>
      </w:r>
      <w:r>
        <w:rPr>
          <w:rFonts w:ascii="Times New Roman" w:hAnsi="Times New Roman"/>
          <w:b/>
          <w:i w:val="false"/>
          <w:color w:val="000000"/>
          <w:sz w:val="24"/>
        </w:rPr>
        <w:t xml:space="preserve">(135) </w:t>
      </w:r>
      <w:r>
        <w:rPr>
          <w:rFonts w:ascii="Times New Roman" w:hAnsi="Times New Roman"/>
          <w:b/>
          <w:i w:val="false"/>
          <w:strike/>
          <w:color w:val="000000"/>
          <w:sz w:val="24"/>
        </w:rPr>
        <w:t>Definitions</w:t>
      </w:r>
      <w:r>
        <w:rPr>
          <w:rFonts w:ascii="Times New Roman" w:hAnsi="Times New Roman"/>
          <w:b/>
          <w:i w:val="false"/>
          <w:color w:val="000000"/>
          <w:sz w:val="24"/>
          <w:u w:val="single"/>
        </w:rPr>
        <w:t> </w:t>
      </w:r>
      <w:r>
        <w:rPr>
          <w:rFonts w:ascii="Times New Roman" w:hAnsi="Times New Roman"/>
          <w:b/>
          <w:i w:val="false"/>
          <w:color w:val="000000"/>
          <w:sz w:val="24"/>
          <w:u w:val="single"/>
        </w:rPr>
        <w:t>Definition</w:t>
      </w:r>
      <w:r>
        <w:rPr>
          <w:rFonts w:ascii="Times New Roman" w:hAnsi="Times New Roman"/>
          <w:b/>
          <w:i w:val="false"/>
          <w:color w:val="000000"/>
          <w:sz w:val="24"/>
        </w:rPr>
        <w:t xml:space="preserve">. </w:t>
      </w:r>
      <w:r>
        <w:rPr>
          <w:rFonts w:ascii="Times New Roman" w:hAnsi="Times New Roman"/>
          <w:b w:val="false"/>
          <w:i w:val="false"/>
          <w:color w:val="000000"/>
          <w:sz w:val="24"/>
        </w:rPr>
        <w:t xml:space="preserve">For purposes of this chapter, the following </w:t>
      </w:r>
      <w:r>
        <w:rPr>
          <w:rFonts w:ascii="Times New Roman" w:hAnsi="Times New Roman"/>
          <w:b w:val="false"/>
          <w:i w:val="false"/>
          <w:strike/>
          <w:color w:val="000000"/>
          <w:sz w:val="24"/>
        </w:rPr>
        <w:t>definitions apply</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definition applies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“Long-term (acute) care hospital”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hospital that has been approved to participate in the Title XVIII (Medicare) program as a long-term care hospital-prospective payment system (LTCH-PPS) hospital in accordance with </w:t>
      </w:r>
      <w:r>
        <w:rPr>
          <w:rFonts w:ascii="Times New Roman" w:hAnsi="Times New Roman"/>
          <w:b w:val="false"/>
          <w:i w:val="false"/>
          <w:color w:val="000000"/>
          <w:sz w:val="24"/>
        </w:rPr>
        <w:t>42 CFR Part 412</w:t>
      </w:r>
      <w:r>
        <w:rPr>
          <w:rFonts w:ascii="Times New Roman" w:hAnsi="Times New Roman"/>
          <w:b w:val="false"/>
          <w:i w:val="false"/>
          <w:color w:val="000000"/>
          <w:sz w:val="24"/>
        </w:rPr>
        <w:t xml:space="preserve"> as amended to August 1, 2025.</w:t>
      </w:r>
    </w:p>
    <w:p>
      <w:pPr>
        <w:spacing w:before="0" w:after="0" w:line="480"/>
        <w:ind w:left="120"/>
        <w:jc w:val="both"/>
      </w:pPr>
      <w:r>
        <w:rPr>
          <w:rFonts w:ascii="Times New Roman" w:hAnsi="Times New Roman"/>
          <w:b w:val="false"/>
          <w:i/>
          <w:strike/>
          <w:color w:val="000000"/>
          <w:sz w:val="24"/>
        </w:rPr>
        <w:t>“Radiation therapy service applying ionizing radiation for the treatment of malignant disease using megavoltage external beam equipment,”</w:t>
      </w:r>
      <w:r>
        <w:rPr>
          <w:rFonts w:ascii="Times New Roman" w:hAnsi="Times New Roman"/>
          <w:b w:val="false"/>
          <w:i w:val="false"/>
          <w:strike/>
          <w:color w:val="000000"/>
          <w:sz w:val="24"/>
        </w:rPr>
        <w:t> </w:t>
      </w:r>
      <w:r>
        <w:rPr>
          <w:rFonts w:ascii="Times New Roman" w:hAnsi="Times New Roman"/>
          <w:b w:val="false"/>
          <w:i w:val="false"/>
          <w:strike/>
          <w:color w:val="000000"/>
          <w:sz w:val="24"/>
        </w:rPr>
        <w:t xml:space="preserve">as the term applies to new or changed institutional health service in Iowa Code section </w:t>
      </w:r>
      <w:hyperlink r:id="rId6">
        <w:r>
          <w:rPr>
            <w:rStyle w:val="Hyperlink"/>
            <w:rFonts w:ascii="Times New Roman" w:hAnsi="Times New Roman"/>
            <w:b w:val="false"/>
            <w:i w:val="false"/>
            <w:strike/>
            <w:color w:val="000000"/>
            <w:sz w:val="24"/>
          </w:rPr>
          <w:t>135.61(17)</w:t>
        </w:r>
      </w:hyperlink>
      <w:r>
        <w:rPr>
          <w:rFonts w:ascii="Times New Roman" w:hAnsi="Times New Roman"/>
          <w:b w:val="false"/>
          <w:i/>
          <w:strike/>
          <w:color w:val="000000"/>
          <w:sz w:val="24"/>
        </w:rPr>
        <w:t>“m”</w:t>
      </w:r>
      <w:r>
        <w:rPr>
          <w:rFonts w:ascii="Times New Roman" w:hAnsi="Times New Roman"/>
          <w:b w:val="false"/>
          <w:i w:val="false"/>
          <w:strike/>
          <w:color w:val="000000"/>
          <w:sz w:val="24"/>
        </w:rPr>
        <w:t>(4), means the initiation or expansion of this service.</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rule </w:t>
      </w:r>
      <w:r>
        <w:rPr>
          <w:rFonts w:ascii="Times New Roman" w:hAnsi="Times New Roman"/>
          <w:b/>
          <w:i w:val="false"/>
          <w:color w:val="000000"/>
          <w:sz w:val="24"/>
        </w:rPr>
        <w:t>441—123.2(135)</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441—123.3(135)</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441—123.3</w:t>
      </w:r>
      <w:r>
        <w:rPr>
          <w:rFonts w:ascii="Times New Roman" w:hAnsi="Times New Roman"/>
          <w:b/>
          <w:i w:val="false"/>
          <w:color w:val="000000"/>
          <w:sz w:val="24"/>
        </w:rPr>
        <w:t xml:space="preserve">(135) </w:t>
      </w:r>
      <w:r>
        <w:rPr>
          <w:rFonts w:ascii="Times New Roman" w:hAnsi="Times New Roman"/>
          <w:b/>
          <w:i w:val="false"/>
          <w:color w:val="000000"/>
          <w:sz w:val="24"/>
        </w:rPr>
        <w:t xml:space="preserve">Determination of reviewability. </w:t>
      </w:r>
      <w:r>
        <w:rPr>
          <w:rFonts w:ascii="Times New Roman" w:hAnsi="Times New Roman"/>
          <w:b w:val="false"/>
          <w:i w:val="false"/>
          <w:color w:val="000000"/>
          <w:sz w:val="24"/>
        </w:rPr>
        <w:t>A sponsor of a proposed project may</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electronically</w:t>
      </w:r>
      <w:r>
        <w:rPr>
          <w:rFonts w:ascii="Times New Roman" w:hAnsi="Times New Roman"/>
          <w:b w:val="false"/>
          <w:i w:val="false"/>
          <w:color w:val="000000"/>
          <w:sz w:val="24"/>
        </w:rPr>
        <w:t xml:space="preserve"> submit a written request for a determination of reviewability as to whether the project requires a certificate of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123.3(1)</w:t>
      </w:r>
      <w:r>
        <w:rPr>
          <w:rFonts w:ascii="Times New Roman" w:hAnsi="Times New Roman"/>
          <w:b w:val="false"/>
          <w:i w:val="false"/>
          <w:color w:val="000000"/>
          <w:sz w:val="24"/>
        </w:rPr>
        <w:t> </w:t>
      </w:r>
      <w:r>
        <w:rPr>
          <w:rFonts w:ascii="Times New Roman" w:hAnsi="Times New Roman"/>
          <w:b w:val="false"/>
          <w:i w:val="false"/>
          <w:color w:val="000000"/>
          <w:sz w:val="24"/>
        </w:rPr>
        <w:t xml:space="preserve">If it is determined that a certificate of need is required, the department will notify the sponsor </w:t>
      </w:r>
      <w:r>
        <w:rPr>
          <w:rFonts w:ascii="Times New Roman" w:hAnsi="Times New Roman"/>
          <w:b w:val="false"/>
          <w:i w:val="false"/>
          <w:strike/>
          <w:color w:val="000000"/>
          <w:sz w:val="24"/>
        </w:rPr>
        <w:t xml:space="preserve">and the request for nonreviewability will be considered the letter of intent for purposes of subrule </w:t>
      </w:r>
      <w:hyperlink r:id="rId7">
        <w:r>
          <w:rPr>
            <w:rStyle w:val="Hyperlink"/>
            <w:rFonts w:ascii="Times New Roman" w:hAnsi="Times New Roman"/>
            <w:b w:val="false"/>
            <w:i w:val="false"/>
            <w:strike/>
            <w:color w:val="000000"/>
            <w:sz w:val="24"/>
          </w:rPr>
          <w:t>123.2(2)</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of the determination of renewability and the sponsor will be allowed to submit an electronic application immediately</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123.3(2)</w:t>
      </w:r>
      <w:r>
        <w:rPr>
          <w:rFonts w:ascii="Times New Roman" w:hAnsi="Times New Roman"/>
          <w:b w:val="false"/>
          <w:i w:val="false"/>
          <w:color w:val="000000"/>
          <w:sz w:val="24"/>
        </w:rPr>
        <w:t xml:space="preserve"> No change.</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Renumber rules </w:t>
      </w:r>
      <w:r>
        <w:rPr>
          <w:rFonts w:ascii="Times New Roman" w:hAnsi="Times New Roman"/>
          <w:b/>
          <w:i w:val="false"/>
          <w:color w:val="000000"/>
          <w:sz w:val="24"/>
        </w:rPr>
        <w:t>441—123.3(135)</w:t>
      </w:r>
      <w:r>
        <w:rPr>
          <w:rFonts w:ascii="Times New Roman" w:hAnsi="Times New Roman"/>
          <w:b w:val="false"/>
          <w:i w:val="false"/>
          <w:color w:val="000000"/>
          <w:sz w:val="24"/>
        </w:rPr>
        <w:t xml:space="preserve"> to </w:t>
      </w:r>
      <w:r>
        <w:rPr>
          <w:rFonts w:ascii="Times New Roman" w:hAnsi="Times New Roman"/>
          <w:b/>
          <w:i w:val="false"/>
          <w:color w:val="000000"/>
          <w:sz w:val="24"/>
        </w:rPr>
        <w:t>441—123.12(135)</w:t>
      </w:r>
      <w:r>
        <w:rPr>
          <w:rFonts w:ascii="Times New Roman" w:hAnsi="Times New Roman"/>
          <w:b w:val="false"/>
          <w:i w:val="false"/>
          <w:color w:val="000000"/>
          <w:sz w:val="24"/>
        </w:rPr>
        <w:t xml:space="preserve"> as </w:t>
      </w:r>
      <w:r>
        <w:rPr>
          <w:rFonts w:ascii="Times New Roman" w:hAnsi="Times New Roman"/>
          <w:b/>
          <w:i w:val="false"/>
          <w:color w:val="000000"/>
          <w:sz w:val="24"/>
        </w:rPr>
        <w:t>441—123.2(135)</w:t>
      </w:r>
      <w:r>
        <w:rPr>
          <w:rFonts w:ascii="Times New Roman" w:hAnsi="Times New Roman"/>
          <w:b w:val="false"/>
          <w:i w:val="false"/>
          <w:color w:val="000000"/>
          <w:sz w:val="24"/>
        </w:rPr>
        <w:t xml:space="preserve"> to </w:t>
      </w:r>
      <w:r>
        <w:rPr>
          <w:rFonts w:ascii="Times New Roman" w:hAnsi="Times New Roman"/>
          <w:b/>
          <w:i w:val="false"/>
          <w:color w:val="000000"/>
          <w:sz w:val="24"/>
        </w:rPr>
        <w:t>441—123.11(135)</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renumbered rule </w:t>
      </w:r>
      <w:r>
        <w:rPr>
          <w:rFonts w:ascii="Times New Roman" w:hAnsi="Times New Roman"/>
          <w:b w:val="false"/>
          <w:i w:val="false"/>
          <w:color w:val="000000"/>
          <w:sz w:val="24"/>
        </w:rPr>
        <w:t>441—123.3(135)</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441—123.3</w:t>
      </w:r>
      <w:r>
        <w:rPr>
          <w:rFonts w:ascii="Times New Roman" w:hAnsi="Times New Roman"/>
          <w:b/>
          <w:i w:val="false"/>
          <w:color w:val="000000"/>
          <w:sz w:val="24"/>
        </w:rPr>
        <w:t xml:space="preserve">(135) </w:t>
      </w:r>
      <w:r>
        <w:rPr>
          <w:rFonts w:ascii="Times New Roman" w:hAnsi="Times New Roman"/>
          <w:b/>
          <w:i w:val="false"/>
          <w:color w:val="000000"/>
          <w:sz w:val="24"/>
        </w:rPr>
        <w:t xml:space="preserve">Submission of 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123.3(1)</w:t>
      </w:r>
      <w:r>
        <w:rPr>
          <w:rFonts w:ascii="Times New Roman" w:hAnsi="Times New Roman"/>
          <w:b w:val="false"/>
          <w:i w:val="false"/>
          <w:color w:val="000000"/>
          <w:sz w:val="24"/>
        </w:rPr>
        <w:t> </w:t>
      </w:r>
      <w:r>
        <w:rPr>
          <w:rFonts w:ascii="Times New Roman" w:hAnsi="Times New Roman"/>
          <w:b w:val="false"/>
          <w:i w:val="false"/>
          <w:color w:val="000000"/>
          <w:sz w:val="24"/>
        </w:rPr>
        <w:t>Application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sponsor of a proposed project for a new or changed institutional health service will submit to the department an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electronic</w:t>
      </w:r>
      <w:r>
        <w:rPr>
          <w:rFonts w:ascii="Times New Roman" w:hAnsi="Times New Roman"/>
          <w:b w:val="false"/>
          <w:i w:val="false"/>
          <w:color w:val="000000"/>
          <w:sz w:val="24"/>
        </w:rPr>
        <w:t xml:space="preserve"> application for certificate of need using the appropriate application form found on the certificate of need website. All information requested in the application form is required in the absence of a waiver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123.3(2)</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123.3(3)</w:t>
      </w:r>
      <w:r>
        <w:rPr>
          <w:rFonts w:ascii="Times New Roman" w:hAnsi="Times New Roman"/>
          <w:b w:val="false"/>
          <w:i w:val="false"/>
          <w:color w:val="000000"/>
          <w:sz w:val="24"/>
        </w:rPr>
        <w:t> </w:t>
      </w:r>
      <w:r>
        <w:rPr>
          <w:rFonts w:ascii="Times New Roman" w:hAnsi="Times New Roman"/>
          <w:b w:val="false"/>
          <w:i w:val="false"/>
          <w:color w:val="000000"/>
          <w:sz w:val="24"/>
        </w:rPr>
        <w:t xml:space="preserve">The notice of an accepted application issued pursuant to Iowa Code section </w:t>
      </w:r>
      <w:hyperlink r:id="rId8">
        <w:r>
          <w:rPr>
            <w:rStyle w:val="Hyperlink"/>
            <w:rFonts w:ascii="Times New Roman" w:hAnsi="Times New Roman"/>
            <w:b w:val="false"/>
            <w:i w:val="false"/>
            <w:color w:val="000000"/>
            <w:sz w:val="24"/>
          </w:rPr>
          <w:t>135.65(2)</w:t>
        </w:r>
      </w:hyperlink>
      <w:r>
        <w:rPr>
          <w:rFonts w:ascii="Times New Roman" w:hAnsi="Times New Roman"/>
          <w:b w:val="false"/>
          <w:i w:val="false"/>
          <w:color w:val="000000"/>
          <w:sz w:val="24"/>
        </w:rPr>
        <w:t xml:space="preserve"> will inform the applicant and affected persons of the deadlines for the electronic submission to the department of written </w:t>
      </w:r>
      <w:r>
        <w:rPr>
          <w:rFonts w:ascii="Times New Roman" w:hAnsi="Times New Roman"/>
          <w:b w:val="false"/>
          <w:i w:val="false"/>
          <w:strike/>
          <w:color w:val="000000"/>
          <w:sz w:val="24"/>
        </w:rPr>
        <w:t>statements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public comments</w:t>
      </w:r>
      <w:r>
        <w:rPr>
          <w:rFonts w:ascii="Times New Roman" w:hAnsi="Times New Roman"/>
          <w:b w:val="false"/>
          <w:i w:val="false"/>
          <w:color w:val="000000"/>
          <w:sz w:val="24"/>
        </w:rPr>
        <w:t xml:space="preserve"> or other materials.</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renumbered subrule </w:t>
      </w:r>
      <w:r>
        <w:rPr>
          <w:rFonts w:ascii="Times New Roman" w:hAnsi="Times New Roman"/>
          <w:b w:val="false"/>
          <w:i w:val="false"/>
          <w:color w:val="000000"/>
          <w:sz w:val="24"/>
        </w:rPr>
        <w:t>123.4(2)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123.4(2)</w:t>
      </w:r>
      <w:r>
        <w:rPr>
          <w:rFonts w:ascii="Times New Roman" w:hAnsi="Times New Roman"/>
          <w:b w:val="false"/>
          <w:i w:val="false"/>
          <w:color w:val="000000"/>
          <w:sz w:val="24"/>
        </w:rPr>
        <w:t> </w:t>
      </w:r>
      <w:r>
        <w:rPr>
          <w:rFonts w:ascii="Times New Roman" w:hAnsi="Times New Roman"/>
          <w:b w:val="false"/>
          <w:i w:val="false"/>
          <w:color w:val="000000"/>
          <w:sz w:val="24"/>
        </w:rPr>
        <w:t>Public comments on an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will receive written public comments on an application during a time frame prescribed by the department for each application. </w:t>
      </w:r>
      <w:r>
        <w:rPr>
          <w:rFonts w:ascii="Times New Roman" w:hAnsi="Times New Roman"/>
          <w:b w:val="false"/>
          <w:i w:val="false"/>
          <w:strike/>
          <w:color w:val="000000"/>
          <w:sz w:val="24"/>
        </w:rPr>
        <w:t>Oral comments will be received at a public hearing set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renumbered subrules </w:t>
      </w:r>
      <w:r>
        <w:rPr>
          <w:rFonts w:ascii="Times New Roman" w:hAnsi="Times New Roman"/>
          <w:b w:val="false"/>
          <w:i w:val="false"/>
          <w:color w:val="000000"/>
          <w:sz w:val="24"/>
        </w:rPr>
        <w:t>123.5(1)</w:t>
      </w:r>
      <w:r>
        <w:rPr>
          <w:rFonts w:ascii="Times New Roman" w:hAnsi="Times New Roman"/>
          <w:b w:val="false"/>
          <w:i w:val="false"/>
          <w:color w:val="000000"/>
          <w:sz w:val="24"/>
        </w:rPr>
        <w:t xml:space="preserve"> to </w:t>
      </w:r>
      <w:r>
        <w:rPr>
          <w:rFonts w:ascii="Times New Roman" w:hAnsi="Times New Roman"/>
          <w:b w:val="false"/>
          <w:i w:val="false"/>
          <w:color w:val="000000"/>
          <w:sz w:val="24"/>
        </w:rPr>
        <w:t>123.5(3)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123.5(1)</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will electronically submit a written request for summary review and a copy of the application and all attachments. </w:t>
      </w:r>
      <w:r>
        <w:rPr>
          <w:rFonts w:ascii="Times New Roman" w:hAnsi="Times New Roman"/>
          <w:b w:val="false"/>
          <w:i w:val="false"/>
          <w:strike/>
          <w:color w:val="000000"/>
          <w:sz w:val="24"/>
        </w:rPr>
        <w:t xml:space="preserve">An applicant is not required to submit a letter of intent pursuant to Iowa Code section </w:t>
      </w:r>
      <w:hyperlink r:id="rId9">
        <w:r>
          <w:rPr>
            <w:rStyle w:val="Hyperlink"/>
            <w:rFonts w:ascii="Times New Roman" w:hAnsi="Times New Roman"/>
            <w:b w:val="false"/>
            <w:i w:val="false"/>
            <w:strike/>
            <w:color w:val="000000"/>
            <w:sz w:val="24"/>
          </w:rPr>
          <w:t>135.64</w:t>
        </w:r>
      </w:hyperlink>
      <w:r>
        <w:rPr>
          <w:rFonts w:ascii="Times New Roman" w:hAnsi="Times New Roman"/>
          <w:b w:val="false"/>
          <w:i w:val="false"/>
          <w:strike/>
          <w:color w:val="000000"/>
          <w:sz w:val="24"/>
        </w:rPr>
        <w:t xml:space="preserve"> prior to submitting a written request for a summary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123.5(2)</w:t>
      </w:r>
      <w:r>
        <w:rPr>
          <w:rFonts w:ascii="Times New Roman" w:hAnsi="Times New Roman"/>
          <w:b w:val="false"/>
          <w:i w:val="false"/>
          <w:color w:val="000000"/>
          <w:sz w:val="24"/>
        </w:rPr>
        <w:t> </w:t>
      </w:r>
      <w:r>
        <w:rPr>
          <w:rFonts w:ascii="Times New Roman" w:hAnsi="Times New Roman"/>
          <w:b w:val="false"/>
          <w:i w:val="false"/>
          <w:color w:val="000000"/>
          <w:sz w:val="24"/>
        </w:rPr>
        <w:t xml:space="preserve">The eligibility of an application for summary review pursuant to Iowa Code section </w:t>
      </w:r>
      <w:hyperlink r:id="rId10">
        <w:r>
          <w:rPr>
            <w:rStyle w:val="Hyperlink"/>
            <w:rFonts w:ascii="Times New Roman" w:hAnsi="Times New Roman"/>
            <w:b w:val="false"/>
            <w:i w:val="false"/>
            <w:color w:val="000000"/>
            <w:sz w:val="24"/>
          </w:rPr>
          <w:t>135.66</w:t>
        </w:r>
      </w:hyperlink>
      <w:r>
        <w:rPr>
          <w:rFonts w:ascii="Times New Roman" w:hAnsi="Times New Roman"/>
          <w:b w:val="false"/>
          <w:i w:val="false"/>
          <w:color w:val="000000"/>
          <w:sz w:val="24"/>
          <w:u w:val="single"/>
        </w:rPr>
        <w:t> </w:t>
      </w:r>
      <w:r>
        <w:rPr>
          <w:rFonts w:ascii="Times New Roman" w:hAnsi="Times New Roman"/>
          <w:b w:val="false"/>
          <w:i w:val="false"/>
          <w:strike/>
          <w:color w:val="000000"/>
          <w:sz w:val="24"/>
        </w:rPr>
        <w:t>does not mandate or require such review. The department will make the decision as to whether an application will be reviewed in the summary review process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will be at the department’s discretion</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123.5(3)</w:t>
      </w:r>
      <w:r>
        <w:rPr>
          <w:rFonts w:ascii="Times New Roman" w:hAnsi="Times New Roman"/>
          <w:b w:val="false"/>
          <w:i w:val="false"/>
          <w:color w:val="000000"/>
          <w:sz w:val="24"/>
        </w:rPr>
        <w:t> </w:t>
      </w:r>
      <w:r>
        <w:rPr>
          <w:rFonts w:ascii="Times New Roman" w:hAnsi="Times New Roman"/>
          <w:b w:val="false"/>
          <w:i w:val="false"/>
          <w:color w:val="000000"/>
          <w:sz w:val="24"/>
        </w:rPr>
        <w:t xml:space="preserve">Upon receipt of a </w:t>
      </w:r>
      <w:r>
        <w:rPr>
          <w:rFonts w:ascii="Times New Roman" w:hAnsi="Times New Roman"/>
          <w:b w:val="false"/>
          <w:i w:val="false"/>
          <w:strike/>
          <w:color w:val="000000"/>
          <w:sz w:val="24"/>
        </w:rPr>
        <w:t>written</w:t>
      </w:r>
      <w:r>
        <w:rPr>
          <w:rFonts w:ascii="Times New Roman" w:hAnsi="Times New Roman"/>
          <w:b w:val="false"/>
          <w:i w:val="false"/>
          <w:color w:val="000000"/>
          <w:sz w:val="24"/>
        </w:rPr>
        <w:t xml:space="preserve"> request for summary review, an application, and the fee required by Iowa Code section </w:t>
      </w:r>
      <w:hyperlink r:id="rId11">
        <w:r>
          <w:rPr>
            <w:rStyle w:val="Hyperlink"/>
            <w:rFonts w:ascii="Times New Roman" w:hAnsi="Times New Roman"/>
            <w:b w:val="false"/>
            <w:i w:val="false"/>
            <w:color w:val="000000"/>
            <w:sz w:val="24"/>
          </w:rPr>
          <w:t>135.62(1)</w:t>
        </w:r>
      </w:hyperlink>
      <w:r>
        <w:rPr>
          <w:rFonts w:ascii="Times New Roman" w:hAnsi="Times New Roman"/>
          <w:b w:val="false"/>
          <w:i w:val="false"/>
          <w:color w:val="000000"/>
          <w:sz w:val="24"/>
        </w:rPr>
        <w:t xml:space="preserve">, the department will notify the applicant </w:t>
      </w:r>
      <w:r>
        <w:rPr>
          <w:rFonts w:ascii="Times New Roman" w:hAnsi="Times New Roman"/>
          <w:b w:val="false"/>
          <w:i w:val="false"/>
          <w:strike/>
          <w:color w:val="000000"/>
          <w:sz w:val="24"/>
        </w:rPr>
        <w:t>in writing</w:t>
      </w:r>
      <w:r>
        <w:rPr>
          <w:rFonts w:ascii="Times New Roman" w:hAnsi="Times New Roman"/>
          <w:b w:val="false"/>
          <w:i w:val="false"/>
          <w:color w:val="000000"/>
          <w:sz w:val="24"/>
        </w:rPr>
        <w:t xml:space="preserve"> within 15 calendar days if the application is complete and if a summary review will be granted.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renumbered subrule </w:t>
      </w:r>
      <w:r>
        <w:rPr>
          <w:rFonts w:ascii="Times New Roman" w:hAnsi="Times New Roman"/>
          <w:b w:val="false"/>
          <w:i w:val="false"/>
          <w:color w:val="000000"/>
          <w:sz w:val="24"/>
        </w:rPr>
        <w:t>123.6(2)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123.6(2)</w:t>
      </w:r>
      <w:r>
        <w:rPr>
          <w:rFonts w:ascii="Times New Roman" w:hAnsi="Times New Roman"/>
          <w:b w:val="false"/>
          <w:i w:val="false"/>
          <w:color w:val="000000"/>
          <w:sz w:val="24"/>
        </w:rPr>
        <w:t> </w:t>
      </w:r>
      <w:r>
        <w:rPr>
          <w:rFonts w:ascii="Times New Roman" w:hAnsi="Times New Roman"/>
          <w:b w:val="false"/>
          <w:i w:val="false"/>
          <w:color w:val="000000"/>
          <w:sz w:val="24"/>
        </w:rPr>
        <w:t xml:space="preserve">An extension by the department made pursuant to subrule </w:t>
      </w:r>
      <w:hyperlink r:id="rId12">
        <w:r>
          <w:rPr>
            <w:rStyle w:val="Hyperlink"/>
            <w:rFonts w:ascii="Times New Roman" w:hAnsi="Times New Roman"/>
            <w:b w:val="false"/>
            <w:i w:val="false"/>
            <w:strike/>
            <w:color w:val="000000"/>
            <w:sz w:val="24"/>
          </w:rPr>
          <w:t>123.7(1)</w:t>
        </w:r>
      </w:hyperlink>
      <w:r>
        <w:rPr>
          <w:rFonts w:ascii="Times New Roman" w:hAnsi="Times New Roman"/>
          <w:b w:val="false"/>
          <w:i w:val="false"/>
          <w:color w:val="000000"/>
          <w:sz w:val="24"/>
          <w:u w:val="single"/>
        </w:rPr>
        <w:t> </w:t>
      </w:r>
      <w:hyperlink r:id="rId13">
        <w:r>
          <w:rPr>
            <w:rStyle w:val="Hyperlink"/>
            <w:rFonts w:ascii="Times New Roman" w:hAnsi="Times New Roman"/>
            <w:b w:val="false"/>
            <w:i w:val="false"/>
            <w:color w:val="000000"/>
            <w:sz w:val="24"/>
            <w:u w:val="single"/>
          </w:rPr>
          <w:t>123.6(1)</w:t>
        </w:r>
      </w:hyperlink>
      <w:r>
        <w:rPr>
          <w:rFonts w:ascii="Times New Roman" w:hAnsi="Times New Roman"/>
          <w:b w:val="false"/>
          <w:i w:val="false"/>
          <w:color w:val="000000"/>
          <w:sz w:val="24"/>
        </w:rPr>
        <w:t xml:space="preserve"> will in no case be more than </w:t>
      </w:r>
      <w:r>
        <w:rPr>
          <w:rFonts w:ascii="Times New Roman" w:hAnsi="Times New Roman"/>
          <w:b w:val="false"/>
          <w:i w:val="false"/>
          <w:strike/>
          <w:color w:val="000000"/>
          <w:sz w:val="24"/>
        </w:rPr>
        <w:t>60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30</w:t>
      </w:r>
      <w:r>
        <w:rPr>
          <w:rFonts w:ascii="Times New Roman" w:hAnsi="Times New Roman"/>
          <w:b w:val="false"/>
          <w:i w:val="false"/>
          <w:color w:val="000000"/>
          <w:sz w:val="24"/>
        </w:rPr>
        <w:t xml:space="preserve"> calendar days beyond the time a decision is required under Iowa Code section </w:t>
      </w:r>
      <w:hyperlink r:id="rId14">
        <w:r>
          <w:rPr>
            <w:rStyle w:val="Hyperlink"/>
            <w:rFonts w:ascii="Times New Roman" w:hAnsi="Times New Roman"/>
            <w:b w:val="false"/>
            <w:i w:val="false"/>
            <w:color w:val="000000"/>
            <w:sz w:val="24"/>
          </w:rPr>
          <w:t>135.68</w:t>
        </w:r>
      </w:hyperlink>
      <w:r>
        <w:rPr>
          <w:rFonts w:ascii="Times New Roman" w:hAnsi="Times New Roman"/>
          <w:b w:val="false"/>
          <w:i w:val="false"/>
          <w:color w:val="000000"/>
          <w:sz w:val="24"/>
        </w:rPr>
        <w:t xml:space="preserve"> unless the applicant and the department agree.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9.</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renumbered subrule </w:t>
      </w:r>
      <w:r>
        <w:rPr>
          <w:rFonts w:ascii="Times New Roman" w:hAnsi="Times New Roman"/>
          <w:b w:val="false"/>
          <w:i w:val="false"/>
          <w:color w:val="000000"/>
          <w:sz w:val="24"/>
        </w:rPr>
        <w:t>123.7(1)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123.7(1)</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or any affected person who has participated or sought unsuccessfully to participate in the formal review procedure prescribed in Iowa Code section </w:t>
      </w:r>
      <w:hyperlink r:id="rId15">
        <w:r>
          <w:rPr>
            <w:rStyle w:val="Hyperlink"/>
            <w:rFonts w:ascii="Times New Roman" w:hAnsi="Times New Roman"/>
            <w:b w:val="false"/>
            <w:i w:val="false"/>
            <w:color w:val="000000"/>
            <w:sz w:val="24"/>
          </w:rPr>
          <w:t>135.65</w:t>
        </w:r>
      </w:hyperlink>
      <w:r>
        <w:rPr>
          <w:rFonts w:ascii="Times New Roman" w:hAnsi="Times New Roman"/>
          <w:b w:val="false"/>
          <w:i w:val="false"/>
          <w:color w:val="000000"/>
          <w:sz w:val="24"/>
        </w:rPr>
        <w:t xml:space="preserve"> may, for good cause shown,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electronically</w:t>
      </w:r>
      <w:r>
        <w:rPr>
          <w:rFonts w:ascii="Times New Roman" w:hAnsi="Times New Roman"/>
          <w:b w:val="false"/>
          <w:i w:val="false"/>
          <w:color w:val="000000"/>
          <w:sz w:val="24"/>
        </w:rPr>
        <w:t xml:space="preserve"> file an application for rehearing </w:t>
      </w:r>
      <w:r>
        <w:rPr>
          <w:rFonts w:ascii="Times New Roman" w:hAnsi="Times New Roman"/>
          <w:b w:val="false"/>
          <w:i w:val="false"/>
          <w:strike/>
          <w:color w:val="000000"/>
          <w:sz w:val="24"/>
        </w:rPr>
        <w:t>in writing</w:t>
      </w:r>
      <w:r>
        <w:rPr>
          <w:rFonts w:ascii="Times New Roman" w:hAnsi="Times New Roman"/>
          <w:b w:val="false"/>
          <w:i w:val="false"/>
          <w:color w:val="000000"/>
          <w:sz w:val="24"/>
        </w:rPr>
        <w:t xml:space="preserve"> with the department stating the specific grounds therefor and the relief sought within 20 calendar days after the date of the issuance of the final decision on an application for certificate of need.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10.</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renumbered rule </w:t>
      </w:r>
      <w:r>
        <w:rPr>
          <w:rFonts w:ascii="Times New Roman" w:hAnsi="Times New Roman"/>
          <w:b w:val="false"/>
          <w:i w:val="false"/>
          <w:color w:val="000000"/>
          <w:sz w:val="24"/>
        </w:rPr>
        <w:t>441—123.8(135)</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441—123.8</w:t>
      </w:r>
      <w:r>
        <w:rPr>
          <w:rFonts w:ascii="Times New Roman" w:hAnsi="Times New Roman"/>
          <w:b/>
          <w:i w:val="false"/>
          <w:color w:val="000000"/>
          <w:sz w:val="24"/>
        </w:rPr>
        <w:t xml:space="preserve">(135) </w:t>
      </w:r>
      <w:r>
        <w:rPr>
          <w:rFonts w:ascii="Times New Roman" w:hAnsi="Times New Roman"/>
          <w:b/>
          <w:i w:val="false"/>
          <w:color w:val="000000"/>
          <w:sz w:val="24"/>
        </w:rPr>
        <w:t xml:space="preserve">Finality. </w:t>
      </w:r>
      <w:r>
        <w:rPr>
          <w:rFonts w:ascii="Times New Roman" w:hAnsi="Times New Roman"/>
          <w:b w:val="false"/>
          <w:i w:val="false"/>
          <w:color w:val="000000"/>
          <w:sz w:val="24"/>
        </w:rPr>
        <w:t xml:space="preserve">The certificate of need application process is continuous beginning with submission of </w:t>
      </w:r>
      <w:r>
        <w:rPr>
          <w:rFonts w:ascii="Times New Roman" w:hAnsi="Times New Roman"/>
          <w:b w:val="false"/>
          <w:i w:val="false"/>
          <w:strike/>
          <w:color w:val="000000"/>
          <w:sz w:val="24"/>
        </w:rPr>
        <w:t>a letter of intent or request for waiver of a letter of intent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 application</w:t>
      </w:r>
      <w:r>
        <w:rPr>
          <w:rFonts w:ascii="Times New Roman" w:hAnsi="Times New Roman"/>
          <w:b w:val="false"/>
          <w:i w:val="false"/>
          <w:color w:val="000000"/>
          <w:sz w:val="24"/>
        </w:rPr>
        <w:t xml:space="preserve"> through issuance of a final decision by the department subject to judicial review under Iowa Code chapter </w:t>
      </w:r>
      <w:hyperlink r:id="rId16">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123.8(1)</w:t>
      </w:r>
      <w:r>
        <w:rPr>
          <w:rFonts w:ascii="Times New Roman" w:hAnsi="Times New Roman"/>
          <w:b w:val="false"/>
          <w:i w:val="false"/>
          <w:color w:val="000000"/>
          <w:sz w:val="24"/>
        </w:rPr>
        <w:t> </w:t>
      </w:r>
      <w:r>
        <w:rPr>
          <w:rFonts w:ascii="Times New Roman" w:hAnsi="Times New Roman"/>
          <w:b w:val="false"/>
          <w:i w:val="false"/>
          <w:color w:val="000000"/>
          <w:sz w:val="24"/>
        </w:rPr>
        <w:t xml:space="preserve">The following stages of the process are intermediate and subject to judicial review only to the extent the stages meet criteria for intermediate review under Iowa Code section </w:t>
      </w:r>
      <w:hyperlink r:id="rId17">
        <w:r>
          <w:rPr>
            <w:rStyle w:val="Hyperlink"/>
            <w:rFonts w:ascii="Times New Roman" w:hAnsi="Times New Roman"/>
            <w:b w:val="false"/>
            <w:i w:val="false"/>
            <w:color w:val="000000"/>
            <w:sz w:val="24"/>
          </w:rPr>
          <w:t>17A.19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decision by the department pursuant to rule </w:t>
      </w:r>
      <w:hyperlink r:id="rId18">
        <w:r>
          <w:rPr>
            <w:rStyle w:val="Hyperlink"/>
            <w:rFonts w:ascii="Times New Roman" w:hAnsi="Times New Roman"/>
            <w:b w:val="false"/>
            <w:i w:val="false"/>
            <w:strike/>
            <w:color w:val="000000"/>
            <w:sz w:val="24"/>
          </w:rPr>
          <w:t>441—123.3</w:t>
        </w:r>
      </w:hyperlink>
      <w:r>
        <w:rPr>
          <w:rFonts w:ascii="Times New Roman" w:hAnsi="Times New Roman"/>
          <w:b w:val="false"/>
          <w:i w:val="false"/>
          <w:strike/>
          <w:color w:val="000000"/>
          <w:sz w:val="24"/>
        </w:rPr>
        <w:t>(135)</w:t>
      </w:r>
      <w:r>
        <w:rPr>
          <w:rFonts w:ascii="Times New Roman" w:hAnsi="Times New Roman"/>
          <w:b w:val="false"/>
          <w:i w:val="false"/>
          <w:color w:val="000000"/>
          <w:sz w:val="24"/>
          <w:u w:val="single"/>
        </w:rPr>
        <w:t> </w:t>
      </w:r>
      <w:hyperlink r:id="rId19">
        <w:r>
          <w:rPr>
            <w:rStyle w:val="Hyperlink"/>
            <w:rFonts w:ascii="Times New Roman" w:hAnsi="Times New Roman"/>
            <w:b w:val="false"/>
            <w:i w:val="false"/>
            <w:color w:val="000000"/>
            <w:sz w:val="24"/>
            <w:u w:val="single"/>
          </w:rPr>
          <w:t>441—123.2</w:t>
        </w:r>
      </w:hyperlink>
      <w:r>
        <w:rPr>
          <w:rFonts w:ascii="Times New Roman" w:hAnsi="Times New Roman"/>
          <w:b w:val="false"/>
          <w:i w:val="false"/>
          <w:color w:val="000000"/>
          <w:sz w:val="24"/>
          <w:u w:val="single"/>
        </w:rPr>
        <w:t>(135)</w:t>
      </w:r>
      <w:r>
        <w:rPr>
          <w:rFonts w:ascii="Times New Roman" w:hAnsi="Times New Roman"/>
          <w:b w:val="false"/>
          <w:i w:val="false"/>
          <w:color w:val="000000"/>
          <w:sz w:val="24"/>
        </w:rPr>
        <w:t xml:space="preserve"> that a proposed project does not require a certificate of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decision by the department to </w:t>
      </w:r>
      <w:r>
        <w:rPr>
          <w:rFonts w:ascii="Times New Roman" w:hAnsi="Times New Roman"/>
          <w:b w:val="false"/>
          <w:i w:val="false"/>
          <w:strike/>
          <w:color w:val="000000"/>
          <w:sz w:val="24"/>
        </w:rPr>
        <w:t>waive submission of the letter of intent and substitute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conduct</w:t>
      </w:r>
      <w:r>
        <w:rPr>
          <w:rFonts w:ascii="Times New Roman" w:hAnsi="Times New Roman"/>
          <w:b w:val="false"/>
          <w:i w:val="false"/>
          <w:color w:val="000000"/>
          <w:sz w:val="24"/>
        </w:rPr>
        <w:t xml:space="preserve"> summary review;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123.8(2)</w:t>
      </w:r>
      <w:r>
        <w:rPr>
          <w:rFonts w:ascii="Times New Roman" w:hAnsi="Times New Roman"/>
          <w:b w:val="false"/>
          <w:i w:val="false"/>
          <w:color w:val="000000"/>
          <w:sz w:val="24"/>
        </w:rPr>
        <w:t xml:space="preserve"> No change.</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renumbered subrule </w:t>
      </w:r>
      <w:r>
        <w:rPr>
          <w:rFonts w:ascii="Times New Roman" w:hAnsi="Times New Roman"/>
          <w:b w:val="false"/>
          <w:i w:val="false"/>
          <w:color w:val="000000"/>
          <w:sz w:val="24"/>
        </w:rPr>
        <w:t>123.10(1)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123.10(1)</w:t>
      </w:r>
      <w:r>
        <w:rPr>
          <w:rFonts w:ascii="Times New Roman" w:hAnsi="Times New Roman"/>
          <w:b w:val="false"/>
          <w:i w:val="false"/>
          <w:color w:val="000000"/>
          <w:sz w:val="24"/>
        </w:rPr>
        <w:t> </w:t>
      </w:r>
      <w:r>
        <w:rPr>
          <w:rFonts w:ascii="Times New Roman" w:hAnsi="Times New Roman"/>
          <w:b w:val="false"/>
          <w:i w:val="false"/>
          <w:color w:val="000000"/>
          <w:sz w:val="24"/>
        </w:rPr>
        <w:t xml:space="preserve">Once a project has been approved by the department, no changes that vary from or alter the number of approved beds, the approved services or the approved cost by an amount indicated in subrule </w:t>
      </w:r>
      <w:hyperlink r:id="rId20">
        <w:r>
          <w:rPr>
            <w:rStyle w:val="Hyperlink"/>
            <w:rFonts w:ascii="Times New Roman" w:hAnsi="Times New Roman"/>
            <w:b w:val="false"/>
            <w:i w:val="false"/>
            <w:strike/>
            <w:color w:val="000000"/>
            <w:sz w:val="24"/>
          </w:rPr>
          <w:t>123.11(2)</w:t>
        </w:r>
      </w:hyperlink>
      <w:r>
        <w:rPr>
          <w:rFonts w:ascii="Times New Roman" w:hAnsi="Times New Roman"/>
          <w:b w:val="false"/>
          <w:i w:val="false"/>
          <w:color w:val="000000"/>
          <w:sz w:val="24"/>
          <w:u w:val="single"/>
        </w:rPr>
        <w:t> </w:t>
      </w:r>
      <w:hyperlink r:id="rId21">
        <w:r>
          <w:rPr>
            <w:rStyle w:val="Hyperlink"/>
            <w:rFonts w:ascii="Times New Roman" w:hAnsi="Times New Roman"/>
            <w:b w:val="false"/>
            <w:i w:val="false"/>
            <w:color w:val="000000"/>
            <w:sz w:val="24"/>
            <w:u w:val="single"/>
          </w:rPr>
          <w:t>123.10(2)</w:t>
        </w:r>
      </w:hyperlink>
      <w:r>
        <w:rPr>
          <w:rFonts w:ascii="Times New Roman" w:hAnsi="Times New Roman"/>
          <w:b w:val="false"/>
          <w:i w:val="false"/>
          <w:color w:val="000000"/>
          <w:sz w:val="24"/>
        </w:rPr>
        <w:t xml:space="preserve"> may be made unless requested by the applicant and approved by the department. Requests should be </w:t>
      </w:r>
      <w:r>
        <w:rPr>
          <w:rFonts w:ascii="Times New Roman" w:hAnsi="Times New Roman"/>
          <w:b w:val="false"/>
          <w:i w:val="false"/>
          <w:strike/>
          <w:color w:val="000000"/>
          <w:sz w:val="24"/>
        </w:rPr>
        <w:t>made in writing and</w:t>
      </w:r>
      <w:r>
        <w:rPr>
          <w:rFonts w:ascii="Times New Roman" w:hAnsi="Times New Roman"/>
          <w:b w:val="false"/>
          <w:i w:val="false"/>
          <w:color w:val="000000"/>
          <w:sz w:val="24"/>
        </w:rPr>
        <w:t xml:space="preserve"> filed with the department electronically.</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rule </w:t>
      </w:r>
      <w:r>
        <w:rPr>
          <w:rFonts w:ascii="Times New Roman" w:hAnsi="Times New Roman"/>
          <w:b/>
          <w:i w:val="false"/>
          <w:color w:val="000000"/>
          <w:sz w:val="24"/>
        </w:rPr>
        <w:t>441—124.1(135)</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rule </w:t>
      </w:r>
      <w:r>
        <w:rPr>
          <w:rFonts w:ascii="Times New Roman" w:hAnsi="Times New Roman"/>
          <w:b/>
          <w:i w:val="false"/>
          <w:color w:val="000000"/>
          <w:sz w:val="24"/>
        </w:rPr>
        <w:t>441—124.2(135)</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14.</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the definitions of </w:t>
      </w:r>
      <w:r>
        <w:rPr>
          <w:rFonts w:ascii="Times New Roman" w:hAnsi="Times New Roman"/>
          <w:b w:val="false"/>
          <w:i w:val="false"/>
          <w:color w:val="000000"/>
          <w:sz w:val="24"/>
        </w:rPr>
        <w:t xml:space="preserve">“Active oncology service” and </w:t>
      </w:r>
      <w:r>
        <w:rPr>
          <w:rFonts w:ascii="Times New Roman" w:hAnsi="Times New Roman"/>
          <w:b w:val="false"/>
          <w:i w:val="false"/>
          <w:color w:val="000000"/>
          <w:sz w:val="24"/>
        </w:rPr>
        <w:t>“Chemotherapy service”</w:t>
      </w:r>
      <w:r>
        <w:rPr>
          <w:rFonts w:ascii="Times New Roman" w:hAnsi="Times New Roman"/>
          <w:b w:val="false"/>
          <w:i w:val="false"/>
          <w:color w:val="000000"/>
          <w:sz w:val="24"/>
        </w:rPr>
        <w:t xml:space="preserve"> in subrule </w:t>
      </w:r>
      <w:r>
        <w:rPr>
          <w:rFonts w:ascii="Times New Roman" w:hAnsi="Times New Roman"/>
          <w:b/>
          <w:i w:val="false"/>
          <w:color w:val="000000"/>
          <w:sz w:val="24"/>
        </w:rPr>
        <w:t>124.3(2)</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subparagraph </w:t>
      </w:r>
      <w:r>
        <w:rPr>
          <w:rFonts w:ascii="Times New Roman" w:hAnsi="Times New Roman"/>
          <w:b/>
          <w:i w:val="false"/>
          <w:color w:val="000000"/>
          <w:sz w:val="24"/>
        </w:rPr>
        <w:t>124.3(3)“a”(2)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applicant in an area with one or more scanners.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must meet the requirement of need described in subparagraph </w:t>
      </w:r>
      <w:hyperlink r:id="rId22">
        <w:r>
          <w:rPr>
            <w:rStyle w:val="Hyperlink"/>
            <w:rFonts w:ascii="Times New Roman" w:hAnsi="Times New Roman"/>
            <w:b w:val="false"/>
            <w:i w:val="false"/>
            <w:strike/>
            <w:color w:val="000000"/>
            <w:sz w:val="24"/>
          </w:rPr>
          <w:t>124.4(3)</w:t>
        </w:r>
      </w:hyperlink>
      <w:r>
        <w:rPr>
          <w:rFonts w:ascii="Times New Roman" w:hAnsi="Times New Roman"/>
          <w:b w:val="false"/>
          <w:i w:val="false"/>
          <w:color w:val="000000"/>
          <w:sz w:val="24"/>
          <w:u w:val="single"/>
        </w:rPr>
        <w:t> </w:t>
      </w:r>
      <w:hyperlink r:id="rId23">
        <w:r>
          <w:rPr>
            <w:rStyle w:val="Hyperlink"/>
            <w:rFonts w:ascii="Times New Roman" w:hAnsi="Times New Roman"/>
            <w:b w:val="false"/>
            <w:i w:val="false"/>
            <w:color w:val="000000"/>
            <w:sz w:val="24"/>
            <w:u w:val="single"/>
          </w:rPr>
          <w:t>124.2(3)</w:t>
        </w:r>
      </w:hyperlink>
      <w:r>
        <w:rPr>
          <w:rFonts w:ascii="Times New Roman" w:hAnsi="Times New Roman"/>
          <w:b w:val="false"/>
          <w:i/>
          <w:color w:val="000000"/>
          <w:sz w:val="24"/>
        </w:rPr>
        <w:t>“a”</w:t>
      </w:r>
      <w:r>
        <w:rPr>
          <w:rFonts w:ascii="Times New Roman" w:hAnsi="Times New Roman"/>
          <w:b w:val="false"/>
          <w:i w:val="false"/>
          <w:color w:val="000000"/>
          <w:sz w:val="24"/>
        </w:rPr>
        <w:t>(1),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University of Iowa Health Care is specifically exempted from consideration under numbered paragraph </w:t>
      </w:r>
      <w:hyperlink r:id="rId24">
        <w:r>
          <w:rPr>
            <w:rStyle w:val="Hyperlink"/>
            <w:rFonts w:ascii="Times New Roman" w:hAnsi="Times New Roman"/>
            <w:b w:val="false"/>
            <w:i w:val="false"/>
            <w:strike/>
            <w:color w:val="000000"/>
            <w:sz w:val="24"/>
          </w:rPr>
          <w:t>124.3(3)</w:t>
        </w:r>
      </w:hyperlink>
      <w:r>
        <w:rPr>
          <w:rFonts w:ascii="Times New Roman" w:hAnsi="Times New Roman"/>
          <w:b w:val="false"/>
          <w:i w:val="false"/>
          <w:color w:val="000000"/>
          <w:sz w:val="24"/>
          <w:u w:val="single"/>
        </w:rPr>
        <w:t> </w:t>
      </w:r>
      <w:hyperlink r:id="rId25">
        <w:r>
          <w:rPr>
            <w:rStyle w:val="Hyperlink"/>
            <w:rFonts w:ascii="Times New Roman" w:hAnsi="Times New Roman"/>
            <w:b w:val="false"/>
            <w:i w:val="false"/>
            <w:color w:val="000000"/>
            <w:sz w:val="24"/>
            <w:u w:val="single"/>
          </w:rPr>
          <w:t>124.3(2)</w:t>
        </w:r>
      </w:hyperlink>
      <w:r>
        <w:rPr>
          <w:rFonts w:ascii="Times New Roman" w:hAnsi="Times New Roman"/>
          <w:b w:val="false"/>
          <w:i/>
          <w:color w:val="000000"/>
          <w:sz w:val="24"/>
        </w:rPr>
        <w:t>“a”</w:t>
      </w:r>
      <w:r>
        <w:rPr>
          <w:rFonts w:ascii="Times New Roman" w:hAnsi="Times New Roman"/>
          <w:b w:val="false"/>
          <w:i w:val="false"/>
          <w:color w:val="000000"/>
          <w:sz w:val="24"/>
        </w:rPr>
        <w:t>(2)“2” because it has a service area that encompasses the entire state and adjoining states. The utilization statistics for scanners at the University of Nebraska Medical Center and Creighton University Medical Center – Bergan Mercy (both in Omaha) will not affect the need for scanners at hospitals in Council Bluffs.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16.</w:t>
      </w:r>
      <w:r>
        <w:rPr>
          <w:rFonts w:ascii="Times New Roman" w:hAnsi="Times New Roman"/>
          <w:b w:val="false"/>
          <w:i w:val="false"/>
          <w:color w:val="000000"/>
          <w:sz w:val="24"/>
        </w:rPr>
        <w:t>  </w:t>
      </w:r>
      <w:r>
        <w:rPr>
          <w:rFonts w:ascii="Times New Roman" w:hAnsi="Times New Roman"/>
          <w:b w:val="false"/>
          <w:i w:val="false"/>
          <w:color w:val="000000"/>
          <w:sz w:val="24"/>
        </w:rPr>
        <w:t xml:space="preserve">Renumber rules </w:t>
      </w:r>
      <w:r>
        <w:rPr>
          <w:rFonts w:ascii="Times New Roman" w:hAnsi="Times New Roman"/>
          <w:b/>
          <w:i w:val="false"/>
          <w:color w:val="000000"/>
          <w:sz w:val="24"/>
        </w:rPr>
        <w:t>441—124.3(135)</w:t>
      </w:r>
      <w:r>
        <w:rPr>
          <w:rFonts w:ascii="Times New Roman" w:hAnsi="Times New Roman"/>
          <w:b w:val="false"/>
          <w:i w:val="false"/>
          <w:color w:val="000000"/>
          <w:sz w:val="24"/>
        </w:rPr>
        <w:t xml:space="preserve"> to </w:t>
      </w:r>
      <w:r>
        <w:rPr>
          <w:rFonts w:ascii="Times New Roman" w:hAnsi="Times New Roman"/>
          <w:b/>
          <w:i w:val="false"/>
          <w:color w:val="000000"/>
          <w:sz w:val="24"/>
        </w:rPr>
        <w:t>441—124.6(135)</w:t>
      </w:r>
      <w:r>
        <w:rPr>
          <w:rFonts w:ascii="Times New Roman" w:hAnsi="Times New Roman"/>
          <w:b w:val="false"/>
          <w:i w:val="false"/>
          <w:color w:val="000000"/>
          <w:sz w:val="24"/>
        </w:rPr>
        <w:t xml:space="preserve"> as </w:t>
      </w:r>
      <w:r>
        <w:rPr>
          <w:rFonts w:ascii="Times New Roman" w:hAnsi="Times New Roman"/>
          <w:b/>
          <w:i w:val="false"/>
          <w:color w:val="000000"/>
          <w:sz w:val="24"/>
        </w:rPr>
        <w:t>441—124.1(135)</w:t>
      </w:r>
      <w:r>
        <w:rPr>
          <w:rFonts w:ascii="Times New Roman" w:hAnsi="Times New Roman"/>
          <w:b w:val="false"/>
          <w:i w:val="false"/>
          <w:color w:val="000000"/>
          <w:sz w:val="24"/>
        </w:rPr>
        <w:t xml:space="preserve"> to </w:t>
      </w:r>
      <w:r>
        <w:rPr>
          <w:rFonts w:ascii="Times New Roman" w:hAnsi="Times New Roman"/>
          <w:b/>
          <w:i w:val="false"/>
          <w:color w:val="000000"/>
          <w:sz w:val="24"/>
        </w:rPr>
        <w:t>441—124.4(135)</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renumbered subparagraph </w:t>
      </w:r>
      <w:r>
        <w:rPr>
          <w:rFonts w:ascii="Times New Roman" w:hAnsi="Times New Roman"/>
          <w:b/>
          <w:i w:val="false"/>
          <w:color w:val="000000"/>
          <w:sz w:val="24"/>
        </w:rPr>
        <w:t>124.3(3)“b”(1)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must meet the requirement of need described in paragraph </w:t>
      </w:r>
      <w:hyperlink r:id="rId26">
        <w:r>
          <w:rPr>
            <w:rStyle w:val="Hyperlink"/>
            <w:rFonts w:ascii="Times New Roman" w:hAnsi="Times New Roman"/>
            <w:b w:val="false"/>
            <w:i w:val="false"/>
            <w:strike/>
            <w:color w:val="000000"/>
            <w:sz w:val="24"/>
          </w:rPr>
          <w:t>124.5(3)</w:t>
        </w:r>
      </w:hyperlink>
      <w:r>
        <w:rPr>
          <w:rFonts w:ascii="Times New Roman" w:hAnsi="Times New Roman"/>
          <w:b w:val="false"/>
          <w:i w:val="false"/>
          <w:color w:val="000000"/>
          <w:sz w:val="24"/>
          <w:u w:val="single"/>
        </w:rPr>
        <w:t> </w:t>
      </w:r>
      <w:hyperlink r:id="rId27">
        <w:r>
          <w:rPr>
            <w:rStyle w:val="Hyperlink"/>
            <w:rFonts w:ascii="Times New Roman" w:hAnsi="Times New Roman"/>
            <w:b w:val="false"/>
            <w:i w:val="false"/>
            <w:color w:val="000000"/>
            <w:sz w:val="24"/>
            <w:u w:val="single"/>
          </w:rPr>
          <w:t>124.3(3)</w:t>
        </w:r>
      </w:hyperlink>
      <w:r>
        <w:rPr>
          <w:rFonts w:ascii="Times New Roman" w:hAnsi="Times New Roman"/>
          <w:b w:val="false"/>
          <w:i/>
          <w:color w:val="000000"/>
          <w:sz w:val="24"/>
        </w:rPr>
        <w:t>“a,”</w:t>
      </w:r>
      <w:r>
        <w:rPr>
          <w:rFonts w:ascii="Times New Roman" w:hAnsi="Times New Roman"/>
          <w:b w:val="false"/>
          <w:i w:val="false"/>
          <w:color w:val="000000"/>
          <w:sz w:val="24"/>
        </w:rPr>
        <w:t xml:space="preserve"> and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renumbered subrule </w:t>
      </w:r>
      <w:r>
        <w:rPr>
          <w:rFonts w:ascii="Times New Roman" w:hAnsi="Times New Roman"/>
          <w:b w:val="false"/>
          <w:i w:val="false"/>
          <w:color w:val="000000"/>
          <w:sz w:val="24"/>
        </w:rPr>
        <w:t>124.4(3)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124.4(3)</w:t>
      </w:r>
      <w:r>
        <w:rPr>
          <w:rFonts w:ascii="Times New Roman" w:hAnsi="Times New Roman"/>
          <w:b w:val="false"/>
          <w:i w:val="false"/>
          <w:color w:val="000000"/>
          <w:sz w:val="24"/>
        </w:rPr>
        <w:t> </w:t>
      </w:r>
      <w:r>
        <w:rPr>
          <w:rFonts w:ascii="Times New Roman" w:hAnsi="Times New Roman"/>
          <w:b w:val="false"/>
          <w:i/>
          <w:color w:val="000000"/>
          <w:sz w:val="24"/>
        </w:rPr>
        <w:t xml:space="preserve">Availability and need. </w:t>
      </w:r>
      <w:r>
        <w:rPr>
          <w:rFonts w:ascii="Times New Roman" w:hAnsi="Times New Roman"/>
          <w:b w:val="false"/>
          <w:i w:val="false"/>
          <w:color w:val="000000"/>
          <w:sz w:val="24"/>
        </w:rPr>
        <w:t xml:space="preserve">(Iowa Code section </w:t>
      </w:r>
      <w:hyperlink r:id="rId28">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xml:space="preserve"> and </w:t>
      </w:r>
      <w:r>
        <w:rPr>
          <w:rFonts w:ascii="Times New Roman" w:hAnsi="Times New Roman"/>
          <w:b w:val="false"/>
          <w:i/>
          <w:color w:val="000000"/>
          <w:sz w:val="24"/>
        </w:rPr>
        <w:t>“h”</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applicant in an area with one or more PET units currently in operation or approved by the certificate of need program for operation.</w:t>
      </w:r>
    </w:p>
    <w:p>
      <w:pPr>
        <w:spacing w:before="0" w:after="0" w:line="480"/>
        <w:ind w:left="120"/>
        <w:jc w:val="both"/>
      </w:pPr>
      <w:r>
        <w:rPr>
          <w:rFonts w:ascii="Times New Roman" w:hAnsi="Times New Roman"/>
          <w:b w:val="false"/>
          <w:i w:val="false"/>
          <w:color w:val="000000"/>
          <w:sz w:val="24"/>
        </w:rPr>
        <w:t xml:space="preserve">Existing PET units within the area (whether basic or enhanced) should have been operating at a minimum of 1,000 PET procedures during the most recent annual period as reported to the certificate of need program according to paragraph </w:t>
      </w:r>
      <w:hyperlink r:id="rId29">
        <w:r>
          <w:rPr>
            <w:rStyle w:val="Hyperlink"/>
            <w:rFonts w:ascii="Times New Roman" w:hAnsi="Times New Roman"/>
            <w:b w:val="false"/>
            <w:i w:val="false"/>
            <w:strike/>
            <w:color w:val="000000"/>
            <w:sz w:val="24"/>
          </w:rPr>
          <w:t>124.6(4)</w:t>
        </w:r>
      </w:hyperlink>
      <w:r>
        <w:rPr>
          <w:rFonts w:ascii="Times New Roman" w:hAnsi="Times New Roman"/>
          <w:b w:val="false"/>
          <w:i w:val="false"/>
          <w:color w:val="000000"/>
          <w:sz w:val="24"/>
          <w:u w:val="single"/>
        </w:rPr>
        <w:t> </w:t>
      </w:r>
      <w:hyperlink r:id="rId30">
        <w:r>
          <w:rPr>
            <w:rStyle w:val="Hyperlink"/>
            <w:rFonts w:ascii="Times New Roman" w:hAnsi="Times New Roman"/>
            <w:b w:val="false"/>
            <w:i w:val="false"/>
            <w:color w:val="000000"/>
            <w:sz w:val="24"/>
            <w:u w:val="single"/>
          </w:rPr>
          <w:t>124.4(4)</w:t>
        </w:r>
      </w:hyperlink>
      <w:r>
        <w:rPr>
          <w:rFonts w:ascii="Times New Roman" w:hAnsi="Times New Roman"/>
          <w:b w:val="false"/>
          <w:i/>
          <w:color w:val="000000"/>
          <w:sz w:val="24"/>
        </w:rPr>
        <w:t>“e.”</w:t>
      </w:r>
    </w:p>
    <w:p>
      <w:pPr>
        <w:spacing w:before="0" w:after="0" w:line="480"/>
        <w:ind w:left="120"/>
        <w:jc w:val="left"/>
      </w:pPr>
      <w:bookmarkStart w:name="lastARC" w:id="2"/>
      <w:bookmarkEnd w:id="2"/>
    </w:p>
    <w:sectPr>
      <w:footerReference r:id="rId3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135.61.pdf" Type="http://schemas.openxmlformats.org/officeDocument/2006/relationships/hyperlink" Id="rId6"/>
    <Relationship TargetMode="External" Target="https://www.legis.iowa.gov/docs/iac/rule/441.123.2.pdf" Type="http://schemas.openxmlformats.org/officeDocument/2006/relationships/hyperlink" Id="rId7"/>
    <Relationship TargetMode="External" Target="https://www.legis.iowa.gov/docs/ico/chapter/135.65.pdf" Type="http://schemas.openxmlformats.org/officeDocument/2006/relationships/hyperlink" Id="rId8"/>
    <Relationship TargetMode="External" Target="https://www.legis.iowa.gov/docs/ico/chapter/135.64.pdf" Type="http://schemas.openxmlformats.org/officeDocument/2006/relationships/hyperlink" Id="rId9"/>
    <Relationship TargetMode="External" Target="https://www.legis.iowa.gov/docs/ico/chapter/135.66.pdf" Type="http://schemas.openxmlformats.org/officeDocument/2006/relationships/hyperlink" Id="rId10"/>
    <Relationship TargetMode="External" Target="https://www.legis.iowa.gov/docs/ico/chapter/135.62.pdf" Type="http://schemas.openxmlformats.org/officeDocument/2006/relationships/hyperlink" Id="rId11"/>
    <Relationship TargetMode="External" Target="https://www.legis.iowa.gov/docs/iac/rule/441.123.7.pdf" Type="http://schemas.openxmlformats.org/officeDocument/2006/relationships/hyperlink" Id="rId12"/>
    <Relationship TargetMode="External" Target="https://www.legis.iowa.gov/docs/iac/rule/441.123.6.pdf" Type="http://schemas.openxmlformats.org/officeDocument/2006/relationships/hyperlink" Id="rId13"/>
    <Relationship TargetMode="External" Target="https://www.legis.iowa.gov/docs/ico/chapter/135.68.pdf" Type="http://schemas.openxmlformats.org/officeDocument/2006/relationships/hyperlink" Id="rId14"/>
    <Relationship TargetMode="External" Target="https://www.legis.iowa.gov/docs/ico/chapter/135.65.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17A.19.pdf" Type="http://schemas.openxmlformats.org/officeDocument/2006/relationships/hyperlink" Id="rId17"/>
    <Relationship TargetMode="External" Target="https://www.legis.iowa.gov/docs/iac/rule/441.123.3.pdf" Type="http://schemas.openxmlformats.org/officeDocument/2006/relationships/hyperlink" Id="rId18"/>
    <Relationship TargetMode="External" Target="https://www.legis.iowa.gov/docs/iac/rule/441.123.2.pdf" Type="http://schemas.openxmlformats.org/officeDocument/2006/relationships/hyperlink" Id="rId19"/>
    <Relationship TargetMode="External" Target="https://www.legis.iowa.gov/docs/iac/rule/441.123.11.pdf" Type="http://schemas.openxmlformats.org/officeDocument/2006/relationships/hyperlink" Id="rId20"/>
    <Relationship TargetMode="External" Target="https://www.legis.iowa.gov/docs/iac/rule/441.123.10.pdf" Type="http://schemas.openxmlformats.org/officeDocument/2006/relationships/hyperlink" Id="rId21"/>
    <Relationship TargetMode="External" Target="https://www.legis.iowa.gov/docs/iac/rule/441.124.4.pdf" Type="http://schemas.openxmlformats.org/officeDocument/2006/relationships/hyperlink" Id="rId22"/>
    <Relationship TargetMode="External" Target="https://www.legis.iowa.gov/docs/iac/rule/441.124.2.pdf" Type="http://schemas.openxmlformats.org/officeDocument/2006/relationships/hyperlink" Id="rId23"/>
    <Relationship TargetMode="External" Target="https://www.legis.iowa.gov/docs/iac/rule/441.124.3.pdf" Type="http://schemas.openxmlformats.org/officeDocument/2006/relationships/hyperlink" Id="rId24"/>
    <Relationship TargetMode="External" Target="https://www.legis.iowa.gov/docs/iac/rule/441.124.3.pdf" Type="http://schemas.openxmlformats.org/officeDocument/2006/relationships/hyperlink" Id="rId25"/>
    <Relationship TargetMode="External" Target="https://www.legis.iowa.gov/docs/iac/rule/441.124.5.pdf" Type="http://schemas.openxmlformats.org/officeDocument/2006/relationships/hyperlink" Id="rId26"/>
    <Relationship TargetMode="External" Target="https://www.legis.iowa.gov/docs/iac/rule/441.124.3.pdf" Type="http://schemas.openxmlformats.org/officeDocument/2006/relationships/hyperlink" Id="rId27"/>
    <Relationship TargetMode="External" Target="https://www.legis.iowa.gov/docs/ico/chapter/135.63.pdf" Type="http://schemas.openxmlformats.org/officeDocument/2006/relationships/hyperlink" Id="rId28"/>
    <Relationship TargetMode="External" Target="https://www.legis.iowa.gov/docs/iac/rule/441.124.6.pdf" Type="http://schemas.openxmlformats.org/officeDocument/2006/relationships/hyperlink" Id="rId29"/>
    <Relationship TargetMode="External" Target="https://www.legis.iowa.gov/docs/iac/rule/441.124.4.pdf" Type="http://schemas.openxmlformats.org/officeDocument/2006/relationships/hyperlink" Id="rId30"/>
    <Relationship Target="footer.xml" Type="http://schemas.openxmlformats.org/officeDocument/2006/relationships/footer"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