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7D" w:id="1"/>
    <w:p>
      <w:pPr>
        <w:spacing w:before="0" w:after="0" w:line="480"/>
        <w:ind w:left="120"/>
        <w:jc w:val="right"/>
      </w:pPr>
      <w:r>
        <w:rPr>
          <w:rFonts w:ascii="Times New Roman" w:hAnsi="Times New Roman"/>
          <w:b/>
          <w:i w:val="false"/>
          <w:color w:val="000000"/>
          <w:sz w:val="28"/>
        </w:rPr>
        <w:t>ARC 0617D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general provisions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130, “General Provisions,” Iowa Administrative Code, and to adopt a new Chapter 130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provides general information and guidance related to application and eligibility for, and provision of, services from the Department.</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replaced restrictive terms and deleted outdated and redundant information.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291 736 521 030 670</w:t>
            </w:r>
            <w:r>
              <w:br/>
            </w:r>
            <w:r>
              <w:rPr>
                <w:rFonts w:ascii="Times New Roman" w:hAnsi="Times New Roman"/>
                <w:b w:val="false"/>
                <w:i w:val="false"/>
                <w:color w:val="000000"/>
                <w:sz w:val="14"/>
              </w:rPr>
              <w:t xml:space="preserve"> Passcode: LC2Pf3Q8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130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XIII</w:t>
      </w:r>
    </w:p>
    <w:p>
      <w:pPr>
        <w:pBdr>
          <w:bottom w:space="3"/>
        </w:pBdr>
        <w:spacing w:before="0" w:after="0" w:line="480"/>
        <w:ind w:left="120"/>
        <w:jc w:val="center"/>
      </w:pPr>
      <w:r>
        <w:rPr>
          <w:rFonts w:ascii="Times New Roman" w:hAnsi="Times New Roman"/>
          <w:b w:val="false"/>
          <w:i/>
          <w:color w:val="000000"/>
          <w:sz w:val="24"/>
        </w:rPr>
        <w:t>SERVICE ADMINISTRATION</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130</w:t>
      </w:r>
    </w:p>
    <w:p>
      <w:pPr>
        <w:spacing w:before="0" w:after="0" w:line="480"/>
        <w:ind w:left="120"/>
        <w:jc w:val="center"/>
      </w:pPr>
      <w:r>
        <w:rPr>
          <w:rFonts w:ascii="Times New Roman" w:hAnsi="Times New Roman"/>
          <w:b w:val="false"/>
          <w:i w:val="false"/>
          <w:color w:val="000000"/>
          <w:sz w:val="21"/>
        </w:rPr>
        <w:t>GENERAL PROVISIONS</w:t>
      </w:r>
    </w:p>
    <w:p>
      <w:pPr>
        <w:spacing w:before="0" w:after="0" w:line="480"/>
        <w:ind w:left="120"/>
        <w:jc w:val="both"/>
      </w:pPr>
      <w:r>
        <w:rPr>
          <w:rFonts w:ascii="Times New Roman" w:hAnsi="Times New Roman"/>
          <w:b/>
          <w:i w:val="false"/>
          <w:color w:val="000000"/>
          <w:sz w:val="24"/>
        </w:rPr>
        <w:t>441—130.1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includes the following members: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Legal spouses (including common law)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adoptive,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or a child who lives alone or who resides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“Family-centered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services provided by the department pursuant to </w:t>
      </w:r>
      <w:hyperlink r:id="rId6">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absence”</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medical absence anticipated to be less than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absence for the purpose of education or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family member is absent and intends to return home within three months.</w:t>
      </w:r>
    </w:p>
    <w:p>
      <w:pPr>
        <w:spacing w:before="0" w:after="0" w:line="480"/>
        <w:ind w:left="120"/>
        <w:jc w:val="both"/>
      </w:pPr>
      <w:r>
        <w:rPr>
          <w:rFonts w:ascii="Times New Roman" w:hAnsi="Times New Roman"/>
          <w:b/>
          <w:i w:val="false"/>
          <w:color w:val="000000"/>
          <w:sz w:val="24"/>
        </w:rPr>
        <w:t>441—130.2</w:t>
      </w:r>
      <w:r>
        <w:rPr>
          <w:rFonts w:ascii="Times New Roman" w:hAnsi="Times New Roman"/>
          <w:b/>
          <w:i w:val="false"/>
          <w:color w:val="000000"/>
          <w:sz w:val="24"/>
        </w:rPr>
        <w:t xml:space="preserve">(234)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130.2(1)</w:t>
      </w:r>
      <w:r>
        <w:rPr>
          <w:rFonts w:ascii="Times New Roman" w:hAnsi="Times New Roman"/>
          <w:b w:val="false"/>
          <w:i w:val="false"/>
          <w:color w:val="000000"/>
          <w:sz w:val="24"/>
        </w:rPr>
        <w:t> </w:t>
      </w:r>
      <w:r>
        <w:rPr>
          <w:rFonts w:ascii="Times New Roman" w:hAnsi="Times New Roman"/>
          <w:b w:val="false"/>
          <w:i w:val="false"/>
          <w:color w:val="000000"/>
          <w:sz w:val="24"/>
        </w:rPr>
        <w:t>Application for social services shall be made at any department office on forms prescribed by the department. Application for services shall be made on an Application for All Social Services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130.2(2)</w:t>
      </w:r>
      <w:r>
        <w:rPr>
          <w:rFonts w:ascii="Times New Roman" w:hAnsi="Times New Roman"/>
          <w:b w:val="false"/>
          <w:i w:val="false"/>
          <w:color w:val="000000"/>
          <w:sz w:val="24"/>
        </w:rPr>
        <w:t> </w:t>
      </w:r>
      <w:r>
        <w:rPr>
          <w:rFonts w:ascii="Times New Roman" w:hAnsi="Times New Roman"/>
          <w:b w:val="false"/>
          <w:i w:val="false"/>
          <w:color w:val="000000"/>
          <w:sz w:val="24"/>
        </w:rPr>
        <w:t>The application may be filed by the applicant; the applicant’s authorized representative; or, where the applicant is incompetent or incapacitated, someone acting responsibly for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130.2(3)</w:t>
      </w:r>
      <w:r>
        <w:rPr>
          <w:rFonts w:ascii="Times New Roman" w:hAnsi="Times New Roman"/>
          <w:b w:val="false"/>
          <w:i w:val="false"/>
          <w:color w:val="000000"/>
          <w:sz w:val="24"/>
        </w:rPr>
        <w:t> </w:t>
      </w:r>
      <w:r>
        <w:rPr>
          <w:rFonts w:ascii="Times New Roman" w:hAnsi="Times New Roman"/>
          <w:b w:val="false"/>
          <w:i w:val="false"/>
          <w:color w:val="000000"/>
          <w:sz w:val="24"/>
        </w:rPr>
        <w:t>The date of application is the date a signed application form is received in the department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130.2(4)</w:t>
      </w:r>
      <w:r>
        <w:rPr>
          <w:rFonts w:ascii="Times New Roman" w:hAnsi="Times New Roman"/>
          <w:b w:val="false"/>
          <w:i w:val="false"/>
          <w:color w:val="000000"/>
          <w:sz w:val="24"/>
        </w:rPr>
        <w:t> </w:t>
      </w:r>
      <w:r>
        <w:rPr>
          <w:rFonts w:ascii="Times New Roman" w:hAnsi="Times New Roman"/>
          <w:b w:val="false"/>
          <w:i w:val="false"/>
          <w:color w:val="000000"/>
          <w:sz w:val="24"/>
        </w:rPr>
        <w:t>The application will be approved or denied within 30 days from the date of application and the applicant notified of the decision. The decision will be mailed or given to the applicant on the date the determination is made, except that for services ordered by the court, the court order provided by the court and the case permanency plan provided by the department shall serve as notification. When individual case management services are being provided, the application will be approved or denied no later than the date that the department service manager, who is part of the interdisciplinary team, signs the 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130.2(5)</w:t>
      </w:r>
      <w:r>
        <w:rPr>
          <w:rFonts w:ascii="Times New Roman" w:hAnsi="Times New Roman"/>
          <w:b w:val="false"/>
          <w:i w:val="false"/>
          <w:color w:val="000000"/>
          <w:sz w:val="24"/>
        </w:rPr>
        <w:t> </w:t>
      </w:r>
      <w:r>
        <w:rPr>
          <w:rFonts w:ascii="Times New Roman" w:hAnsi="Times New Roman"/>
          <w:b w:val="false"/>
          <w:i w:val="false"/>
          <w:color w:val="000000"/>
          <w:sz w:val="24"/>
        </w:rPr>
        <w:t>Eligibility will be redetermined in the same manner as an application at least every six months for family-centered services. For all other services, eligibility will be redetermined in the same manner as an application at least every 12 months.</w:t>
      </w:r>
    </w:p>
    <w:p>
      <w:pPr>
        <w:spacing w:before="0" w:after="0" w:line="480"/>
        <w:ind w:left="120"/>
        <w:jc w:val="both"/>
      </w:pPr>
      <w:r>
        <w:rPr>
          <w:rFonts w:ascii="Times New Roman" w:hAnsi="Times New Roman"/>
          <w:b/>
          <w:i w:val="false"/>
          <w:color w:val="000000"/>
          <w:sz w:val="24"/>
        </w:rPr>
        <w:t>441—130.3</w:t>
      </w:r>
      <w:r>
        <w:rPr>
          <w:rFonts w:ascii="Times New Roman" w:hAnsi="Times New Roman"/>
          <w:b/>
          <w:i w:val="false"/>
          <w:color w:val="000000"/>
          <w:sz w:val="24"/>
        </w:rPr>
        <w:t xml:space="preserve">(234)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130.3(1)</w:t>
      </w:r>
      <w:r>
        <w:rPr>
          <w:rFonts w:ascii="Times New Roman" w:hAnsi="Times New Roman"/>
          <w:b w:val="false"/>
          <w:i w:val="false"/>
          <w:color w:val="000000"/>
          <w:sz w:val="24"/>
        </w:rPr>
        <w:t> </w:t>
      </w:r>
      <w:r>
        <w:rPr>
          <w:rFonts w:ascii="Times New Roman" w:hAnsi="Times New Roman"/>
          <w:b w:val="false"/>
          <w:i w:val="false"/>
          <w:color w:val="000000"/>
          <w:sz w:val="24"/>
        </w:rPr>
        <w:t>Eligibility factors for services available through the department are individual need for a service and family income except when services are provided without regard to income or when services are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need is established when the service to be provided is directed at and will facilitate an individual in reaching or maintaining one of the goals and objectives in </w:t>
      </w:r>
      <w:hyperlink r:id="rId7">
        <w:r>
          <w:rPr>
            <w:rStyle w:val="Hyperlink"/>
            <w:rFonts w:ascii="Times New Roman" w:hAnsi="Times New Roman"/>
            <w:b w:val="false"/>
            <w:i w:val="false"/>
            <w:color w:val="000000"/>
            <w:sz w:val="24"/>
          </w:rPr>
          <w:t>130.6(1)</w:t>
        </w:r>
      </w:hyperlink>
      <w:r>
        <w:rPr>
          <w:rFonts w:ascii="Times New Roman" w:hAnsi="Times New Roman"/>
          <w:b w:val="false"/>
          <w:i w:val="false"/>
          <w:color w:val="000000"/>
          <w:sz w:val="24"/>
        </w:rPr>
        <w:t>. Except when the court establishes need, the department will establish individual need in accordance with each individual service’s rules. The department will determine the number of units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block grant service to be provided will be contained in the pre-expenditure report and listed for the specific district and county. Service available through the department and funded by resources other than the social service block grant is identified in rules for that specific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will be provided only when funds are available for service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Persons are financially eligible for services when they are in one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maintenance status. They are recipients of the family investment program (FIP), those whose income was taken into account in determining the needs of FIP recipients, recipients of supplemental security income or state supplementary assistance, or those in the 300 percent group as defined in </w:t>
      </w:r>
      <w:hyperlink r:id="rId8">
        <w:r>
          <w:rPr>
            <w:rStyle w:val="Hyperlink"/>
            <w:rFonts w:ascii="Times New Roman" w:hAnsi="Times New Roman"/>
            <w:b w:val="false"/>
            <w:i w:val="false"/>
            <w:color w:val="000000"/>
            <w:sz w:val="24"/>
          </w:rPr>
          <w:t>441—subrule 75.6(4)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Income eligible status. The monthly gross income is based on family size. Family size income levels are found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Certain services are provided without regard to income, which means family income is not considered in determining eligibility. The services provided without regard to income are information and referral, child protective assessment, child abuse treatment, child abuse prevention services, including protective child care services, family-centered services, dependent adult abuse evaluation, dependent adult abuse treatment, dependent adult abuse prevention services, and purchased adoption services to individuals and families referred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certain cases, the department will provide services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130.3(2)</w:t>
      </w:r>
      <w:r>
        <w:rPr>
          <w:rFonts w:ascii="Times New Roman" w:hAnsi="Times New Roman"/>
          <w:b w:val="false"/>
          <w:i w:val="false"/>
          <w:color w:val="000000"/>
          <w:sz w:val="24"/>
        </w:rPr>
        <w:t> </w:t>
      </w:r>
      <w:r>
        <w:rPr>
          <w:rFonts w:ascii="Times New Roman" w:hAnsi="Times New Roman"/>
          <w:b w:val="false"/>
          <w:i w:val="false"/>
          <w:color w:val="000000"/>
          <w:sz w:val="24"/>
        </w:rPr>
        <w:t>To be eligible for services, the person must be living in the state of Iowa. Living in the state includes those persons living in Iowa for a temporary period, other than for the purpose of vacation.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130.3(3)</w:t>
      </w:r>
      <w:r>
        <w:rPr>
          <w:rFonts w:ascii="Times New Roman" w:hAnsi="Times New Roman"/>
          <w:b w:val="false"/>
          <w:i w:val="false"/>
          <w:color w:val="000000"/>
          <w:sz w:val="24"/>
        </w:rPr>
        <w:t> </w:t>
      </w:r>
      <w:r>
        <w:rPr>
          <w:rFonts w:ascii="Times New Roman" w:hAnsi="Times New Roman"/>
          <w:b w:val="false"/>
          <w:i w:val="false"/>
          <w:color w:val="000000"/>
          <w:sz w:val="24"/>
        </w:rPr>
        <w:t>In determining gross income, all income received by an individual from sources identified by the U.S. Census Bureau in computing median income is considered and includes money wages or salary, net income from nonfarm self-employment, net income from farm self-employment, social security, dividends, interest, income from estates or trusts, net rental income and royalties, public assistance or welfare payments, pensions and annuities, unemployment compensation, worker’s compensation, alimony, child support, and veterans pensions. Excluded from the computation of monthly gross income are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 capita payments to or funds held in trust for any individual in satisfaction of a judgment of the Indian claims commission or the court of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Payments made pursuant to the Alaska Claims Settlement Act as amended to August 1, 2026, to the extent such payments are exempt from taxation under Section 21(a) of the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Money received from the sale of property unless the person was engaged in the business of selling such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Withdrawals of bank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Money borrowed.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Tax refunds.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Gifts.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Lump sum inheritances or insurance payments or settlements.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value of USDA-donated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value of supplemental food assistance under the Child Nutrition Act of 1966 as amended to August 1, 2026, and the special food program for children under the National School Lunch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Earnings of a child 14 years of age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Loans and grants obtained and used under conditions that preclude their use for current living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Any grant or loan to any undergraduate student for educational purposes made or insured under the Higher Education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Home produce utilized for household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Stipends received by persons for participating in the foster grandparent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The first $65 plus 50 percent of the remainder of income earned in a sheltered workshop or work activity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Payments from the low-income home energy assistance program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 determining eligibility for purchase of local services, one-third of the income of a disabled survivor who is a recipient of child’s insurance benefits under the federal old-age, survivors, and disability insurance program established under Title II of the federal Social Security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 determining eligibility for purchase of local services, one-third of the income of a person who receives social security permanent disability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Agent Orange settlement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 xml:space="preserve">Rent reimbursement provided under Iowa Code chapter </w:t>
      </w:r>
      <w:hyperlink r:id="rId9">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Moneys received under the federal Social Security Persons Achieving Self-Sufficiency (PASS) program or the Income-Related Work Expense (IRWE)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130.3(4)</w:t>
      </w:r>
      <w:r>
        <w:rPr>
          <w:rFonts w:ascii="Times New Roman" w:hAnsi="Times New Roman"/>
          <w:b w:val="false"/>
          <w:i w:val="false"/>
          <w:color w:val="000000"/>
          <w:sz w:val="24"/>
        </w:rPr>
        <w:t> </w:t>
      </w:r>
      <w:r>
        <w:rPr>
          <w:rFonts w:ascii="Times New Roman" w:hAnsi="Times New Roman"/>
          <w:b w:val="false"/>
          <w:i w:val="false"/>
          <w:color w:val="000000"/>
          <w:sz w:val="24"/>
        </w:rPr>
        <w:t>Temporary absence. The composition of the family group does not change when one, or more, of the group members is temporarily absent from the household.</w:t>
      </w:r>
    </w:p>
    <w:p>
      <w:pPr>
        <w:spacing w:before="0" w:after="0" w:line="480"/>
        <w:ind w:left="120"/>
        <w:jc w:val="both"/>
      </w:pPr>
      <w:r>
        <w:rPr>
          <w:rFonts w:ascii="Times New Roman" w:hAnsi="Times New Roman"/>
          <w:b/>
          <w:i w:val="false"/>
          <w:color w:val="000000"/>
          <w:sz w:val="24"/>
        </w:rPr>
        <w:t>441—130.4</w:t>
      </w:r>
      <w:r>
        <w:rPr>
          <w:rFonts w:ascii="Times New Roman" w:hAnsi="Times New Roman"/>
          <w:b/>
          <w:i w:val="false"/>
          <w:color w:val="000000"/>
          <w:sz w:val="24"/>
        </w:rPr>
        <w:t xml:space="preserve">(234)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in need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client is not financially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 to be provided is not in the Social Services Block Grant Pre-Expenditure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cases other than protective service investigation, the client, parent, or representative refuses to sign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service for which the client is eligible is currently not available;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any one or combination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specific need to attain the goals and objectives to which the service was directed has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repeated assessment, it is evident that the family or individual is unable to achieve or maintain the goals set forth in the individual client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After repeated efforts, it is evident that the family or individual is unwilling to accept further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client’s income or resources exceed the financial guidelines, or the client no longer meets other eligibility criteria established by the department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service is no longer offered or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Another community resource is available to provide the service or a similar service free of charge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client refuses to allow documentation of eligibility as to need, income, and resources;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A particular service may be reduced when the department determines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Continued provision of service at its current level is not necessary. The department will determine the level to which the service may be reduced without jeopardizing the client’s continued progress toward achieving or maintaining the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Another community resource is available to provide the same or similar service to the client at no financial cost to the client, that will meet the client’s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 to continue the service at the current level. The client will be reassessed to determine the level of service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130.4(4)</w:t>
      </w:r>
      <w:r>
        <w:rPr>
          <w:rFonts w:ascii="Times New Roman" w:hAnsi="Times New Roman"/>
          <w:b w:val="false"/>
          <w:i w:val="false"/>
          <w:color w:val="000000"/>
          <w:sz w:val="24"/>
        </w:rPr>
        <w:t> </w:t>
      </w:r>
      <w:r>
        <w:rPr>
          <w:rFonts w:ascii="Times New Roman" w:hAnsi="Times New Roman"/>
          <w:b w:val="false"/>
          <w:i/>
          <w:color w:val="000000"/>
          <w:sz w:val="24"/>
        </w:rPr>
        <w:t xml:space="preserve">Pending changes. </w:t>
      </w:r>
      <w:r>
        <w:rPr>
          <w:rFonts w:ascii="Times New Roman" w:hAnsi="Times New Roman"/>
          <w:b w:val="false"/>
          <w:i w:val="false"/>
          <w:color w:val="000000"/>
          <w:sz w:val="24"/>
        </w:rPr>
        <w:t>The department will endeavor to make clients aware of pending changes in services to be provided by social services block grant from one program year to the next, particularly for those services that will no longer be available. This requirement also applies to time-limited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130.4(5)</w:t>
      </w:r>
      <w:r>
        <w:rPr>
          <w:rFonts w:ascii="Times New Roman" w:hAnsi="Times New Roman"/>
          <w:b w:val="false"/>
          <w:i w:val="false"/>
          <w:color w:val="000000"/>
          <w:sz w:val="24"/>
        </w:rPr>
        <w:t> </w:t>
      </w:r>
      <w:r>
        <w:rPr>
          <w:rFonts w:ascii="Times New Roman" w:hAnsi="Times New Roman"/>
          <w:b w:val="false"/>
          <w:i/>
          <w:color w:val="000000"/>
          <w:sz w:val="24"/>
        </w:rPr>
        <w:t xml:space="preserve">Notice and appeal. </w:t>
      </w:r>
      <w:r>
        <w:rPr>
          <w:rFonts w:ascii="Times New Roman" w:hAnsi="Times New Roman"/>
          <w:b w:val="false"/>
          <w:i w:val="false"/>
          <w:color w:val="000000"/>
          <w:sz w:val="24"/>
        </w:rPr>
        <w:t xml:space="preserve">Notice of adverse service actions will be issued in accordance with </w:t>
      </w:r>
      <w:hyperlink r:id="rId10">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may be appealed pursuant to </w:t>
      </w:r>
      <w:hyperlink r:id="rId1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441—130.5</w:t>
      </w:r>
      <w:r>
        <w:rPr>
          <w:rFonts w:ascii="Times New Roman" w:hAnsi="Times New Roman"/>
          <w:b/>
          <w:i w:val="false"/>
          <w:color w:val="000000"/>
          <w:sz w:val="24"/>
        </w:rPr>
        <w:t xml:space="preserve">(234) </w:t>
      </w:r>
      <w:r>
        <w:rPr>
          <w:rFonts w:ascii="Times New Roman" w:hAnsi="Times New Roman"/>
          <w:b/>
          <w:i w:val="false"/>
          <w:color w:val="000000"/>
          <w:sz w:val="24"/>
        </w:rPr>
        <w:t xml:space="preserve">Social casework. </w:t>
      </w:r>
      <w:r>
        <w:rPr>
          <w:rFonts w:ascii="Times New Roman" w:hAnsi="Times New Roman"/>
          <w:b w:val="false"/>
          <w:i w:val="false"/>
          <w:color w:val="000000"/>
          <w:sz w:val="24"/>
        </w:rPr>
        <w:t>For each active service case, when service is provided directly, purchased, or by a combination of methods,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130.5(1)</w:t>
      </w:r>
      <w:r>
        <w:rPr>
          <w:rFonts w:ascii="Times New Roman" w:hAnsi="Times New Roman"/>
          <w:b w:val="false"/>
          <w:i w:val="false"/>
          <w:color w:val="000000"/>
          <w:sz w:val="24"/>
        </w:rPr>
        <w:t> </w:t>
      </w:r>
      <w:r>
        <w:rPr>
          <w:rFonts w:ascii="Times New Roman" w:hAnsi="Times New Roman"/>
          <w:b w:val="false"/>
          <w:i w:val="false"/>
          <w:color w:val="000000"/>
          <w:sz w:val="24"/>
        </w:rPr>
        <w:t>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130.5(2)</w:t>
      </w:r>
      <w:r>
        <w:rPr>
          <w:rFonts w:ascii="Times New Roman" w:hAnsi="Times New Roman"/>
          <w:b w:val="false"/>
          <w:i w:val="false"/>
          <w:color w:val="000000"/>
          <w:sz w:val="24"/>
        </w:rPr>
        <w:t> </w:t>
      </w:r>
      <w:r>
        <w:rPr>
          <w:rFonts w:ascii="Times New Roman" w:hAnsi="Times New Roman"/>
          <w:b w:val="false"/>
          <w:i w:val="false"/>
          <w:color w:val="000000"/>
          <w:sz w:val="24"/>
        </w:rPr>
        <w:t>Ensure there is a department case plan for each individual or family based on assessment of strengths and needs. The department will furnish appropriate sections of the initial plan and of all updated department case plans to the provider agency when services are purchased for an individual. When individual case management services are being provided, the individual case management services provider shall distribute the case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130.5(3)</w:t>
      </w:r>
      <w:r>
        <w:rPr>
          <w:rFonts w:ascii="Times New Roman" w:hAnsi="Times New Roman"/>
          <w:b w:val="false"/>
          <w:i w:val="false"/>
          <w:color w:val="000000"/>
          <w:sz w:val="24"/>
        </w:rPr>
        <w:t> </w:t>
      </w:r>
      <w:r>
        <w:rPr>
          <w:rFonts w:ascii="Times New Roman" w:hAnsi="Times New Roman"/>
          <w:b w:val="false"/>
          <w:i w:val="false"/>
          <w:color w:val="000000"/>
          <w:sz w:val="24"/>
        </w:rPr>
        <w:t>Refer the client to other agencies through proper channels and coordinate all people involved in the case. When individual case management services are being provided, the individual case management services provider shall be responsible for making referrals and coordinating workers as specified in the 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130.5(4)</w:t>
      </w:r>
      <w:r>
        <w:rPr>
          <w:rFonts w:ascii="Times New Roman" w:hAnsi="Times New Roman"/>
          <w:b w:val="false"/>
          <w:i w:val="false"/>
          <w:color w:val="000000"/>
          <w:sz w:val="24"/>
        </w:rPr>
        <w:t> </w:t>
      </w:r>
      <w:r>
        <w:rPr>
          <w:rFonts w:ascii="Times New Roman" w:hAnsi="Times New Roman"/>
          <w:b w:val="false"/>
          <w:i w:val="false"/>
          <w:color w:val="000000"/>
          <w:sz w:val="24"/>
        </w:rPr>
        <w:t>Enter information to the service reporting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130.5(5)</w:t>
      </w:r>
      <w:r>
        <w:rPr>
          <w:rFonts w:ascii="Times New Roman" w:hAnsi="Times New Roman"/>
          <w:b w:val="false"/>
          <w:i w:val="false"/>
          <w:color w:val="000000"/>
          <w:sz w:val="24"/>
        </w:rPr>
        <w:t> </w:t>
      </w:r>
      <w:r>
        <w:rPr>
          <w:rFonts w:ascii="Times New Roman" w:hAnsi="Times New Roman"/>
          <w:b w:val="false"/>
          <w:i w:val="false"/>
          <w:color w:val="000000"/>
          <w:sz w:val="24"/>
        </w:rPr>
        <w:t>Monitor the case to ensure that eligibility continues, services are received, plans are adjusted as needed, services reporting system reporting is correct, and the case is canceled when appropriate, according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130.5(6)</w:t>
      </w:r>
      <w:r>
        <w:rPr>
          <w:rFonts w:ascii="Times New Roman" w:hAnsi="Times New Roman"/>
          <w:b w:val="false"/>
          <w:i w:val="false"/>
          <w:color w:val="000000"/>
          <w:sz w:val="24"/>
        </w:rPr>
        <w:t> </w:t>
      </w:r>
      <w:r>
        <w:rPr>
          <w:rFonts w:ascii="Times New Roman" w:hAnsi="Times New Roman"/>
          <w:b w:val="false"/>
          <w:i w:val="false"/>
          <w:color w:val="000000"/>
          <w:sz w:val="24"/>
        </w:rPr>
        <w:t>Ensure that services are unavailable elsewhere without cost to the client.</w:t>
      </w:r>
    </w:p>
    <w:p>
      <w:pPr>
        <w:spacing w:before="0" w:after="0" w:line="480"/>
        <w:ind w:left="120"/>
        <w:jc w:val="both"/>
      </w:pPr>
      <w:r>
        <w:rPr>
          <w:rFonts w:ascii="Times New Roman" w:hAnsi="Times New Roman"/>
          <w:b/>
          <w:i w:val="false"/>
          <w:color w:val="000000"/>
          <w:sz w:val="24"/>
        </w:rPr>
        <w:t>441—130.6</w:t>
      </w:r>
      <w:r>
        <w:rPr>
          <w:rFonts w:ascii="Times New Roman" w:hAnsi="Times New Roman"/>
          <w:b/>
          <w:i w:val="false"/>
          <w:color w:val="000000"/>
          <w:sz w:val="24"/>
        </w:rPr>
        <w:t xml:space="preserve">(234) </w:t>
      </w:r>
      <w:r>
        <w:rPr>
          <w:rFonts w:ascii="Times New Roman" w:hAnsi="Times New Roman"/>
          <w:b/>
          <w:i w:val="false"/>
          <w:color w:val="000000"/>
          <w:sz w:val="24"/>
        </w:rPr>
        <w:t xml:space="preserve">Case plan. </w:t>
      </w:r>
      <w:r>
        <w:rPr>
          <w:rFonts w:ascii="Times New Roman" w:hAnsi="Times New Roman"/>
          <w:b w:val="false"/>
          <w:i w:val="false"/>
          <w:color w:val="000000"/>
          <w:sz w:val="24"/>
        </w:rPr>
        <w:t xml:space="preserve">The department will develop a case plan with or on behalf of persons approved to receive services. However, a case plan is not required (1) for child or adult protective assessment, (2) for foster care cases in which the department does not have custody, guardianship or a voluntary placement agreement, or (3) when child care is the only service. A case plan will be developed with or on behalf of every other person approved to receive services unless the person has a case manager as specified in </w:t>
      </w:r>
      <w:hyperlink r:id="rId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When department services are provided before an individual program plan in compliance with </w:t>
      </w:r>
      <w:hyperlink r:id="rId1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is approved, a department case plan will be developed according to the requirements of this rule. When individual case management services are being provided, the rules in </w:t>
      </w:r>
      <w:hyperlink r:id="rId1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on time limits, plan format and on who develops the plan will apply for adults and for children whose services are not under court jurisdiction. The department will determine eligibility for those services provided by the department; however, a separate department case plan need not be developed. If the individual program plan does not include sufficient information to meet department service requirements or the requirements in this chapter, the person providing department social casework will complete either a case plan or addendum and coordinate distribution to the persons who receive the individual program plan with the case manager.</w:t>
      </w:r>
    </w:p>
    <w:p>
      <w:pPr>
        <w:spacing w:before="0" w:after="0" w:line="480"/>
        <w:ind w:left="120"/>
        <w:jc w:val="both"/>
      </w:pPr>
      <w:r>
        <w:rPr>
          <w:rFonts w:ascii="Times New Roman" w:hAnsi="Times New Roman"/>
          <w:b w:val="false"/>
          <w:i w:val="false"/>
          <w:color w:val="000000"/>
          <w:sz w:val="24"/>
        </w:rPr>
        <w:t>The case plan will become part of the client’s case record. The client shall participate in the development of this plan to the extent possible. The case plan will be consistent with other service or program plans. A copy of the case plan will be provided to the client or, when indicated, to the parent or representative of the client. For adult services, the case plan will be recorded using an individual service plan. For children’s services, the case plan will be known as the case permanency plan and will be prepared using a family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130.6(1)</w:t>
      </w:r>
      <w:r>
        <w:rPr>
          <w:rFonts w:ascii="Times New Roman" w:hAnsi="Times New Roman"/>
          <w:b w:val="false"/>
          <w:i w:val="false"/>
          <w:color w:val="000000"/>
          <w:sz w:val="24"/>
        </w:rPr>
        <w:t> </w:t>
      </w:r>
      <w:r>
        <w:rPr>
          <w:rFonts w:ascii="Times New Roman" w:hAnsi="Times New Roman"/>
          <w:b w:val="false"/>
          <w:i w:val="false"/>
          <w:color w:val="000000"/>
          <w:sz w:val="24"/>
        </w:rPr>
        <w:t>Services will be directed toward the social services block grant goals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Achieving or maintaining self-support to prevent, reduce or eliminate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Achieving or maintaining self-sufficiency, including reduction or prevention of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Preventing or remedying neglect, abuse or exploitation of children or adults unable to protect their own interest or preserving, rehabilitating or reuniting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Preventing or reducing inappropriate institutional care by providing for community-based care, home-based care, or other forms of less intensive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Securing referral or admission for institutional care when other forms of care are not appropriate or providing services to individuals in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130.6(2)</w:t>
      </w:r>
      <w:r>
        <w:rPr>
          <w:rFonts w:ascii="Times New Roman" w:hAnsi="Times New Roman"/>
          <w:b w:val="false"/>
          <w:i w:val="false"/>
          <w:color w:val="000000"/>
          <w:sz w:val="24"/>
        </w:rPr>
        <w:t> </w:t>
      </w:r>
      <w:r>
        <w:rPr>
          <w:rFonts w:ascii="Times New Roman" w:hAnsi="Times New Roman"/>
          <w:b w:val="false"/>
          <w:i w:val="false"/>
          <w:color w:val="000000"/>
          <w:sz w:val="24"/>
        </w:rPr>
        <w:t>The recorded case plan will contain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goal and objective to which the plan is directed, stated in a clear manner indicating the specific services required to achieve or maintain the goals to meet the needs of the particular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Activities of clients and others involved in the plan related to specific services. These will be measurable and have time frames for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summary of all pertinent information relating to the client and the client’s situation relative to need, containing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Emotional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 aspects.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Historical perspective.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Reasons for success or lack of success.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Safety-related information indicating whether a child has behaved in a manner that threatened the safety of another person, has committed a violent act causing bodily injury to another person, or has been a victim or perpetrator of sexual abuse. The safety-related information will be withheld only if ordered by the court or if 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assessment of whether continued breastfeeding by a child’s mother is in the best interest of the child and a plan to support the mother’s breastfeeding efforts,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Information on case entries that will substantiate the client’s eligibility for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target date for reevaluation of the case plan based on assessment of need that shall not exceed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review of financial eligibility in accordance with </w:t>
      </w:r>
      <w:hyperlink r:id="rId15">
        <w:r>
          <w:rPr>
            <w:rStyle w:val="Hyperlink"/>
            <w:rFonts w:ascii="Times New Roman" w:hAnsi="Times New Roman"/>
            <w:b w:val="false"/>
            <w:i w:val="false"/>
            <w:color w:val="000000"/>
            <w:sz w:val="24"/>
          </w:rPr>
          <w:t>130.2(5)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reason for termination or reduction of any or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130.6(3)</w:t>
      </w:r>
      <w:r>
        <w:rPr>
          <w:rFonts w:ascii="Times New Roman" w:hAnsi="Times New Roman"/>
          <w:b w:val="false"/>
          <w:i w:val="false"/>
          <w:color w:val="000000"/>
          <w:sz w:val="24"/>
        </w:rPr>
        <w:t> </w:t>
      </w:r>
      <w:r>
        <w:rPr>
          <w:rFonts w:ascii="Times New Roman" w:hAnsi="Times New Roman"/>
          <w:b w:val="false"/>
          <w:i w:val="false"/>
          <w:color w:val="000000"/>
          <w:sz w:val="24"/>
        </w:rPr>
        <w:t>The case plan will be developed and filed in the case record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child welfare cases, the case plan will be developed in partnership with the child, the family, and the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recommendations from the child protective assessment and the safety plan developed with the family will be considered an initial case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case permanency plan that meets the requirements of Iowa Code section </w:t>
      </w:r>
      <w:hyperlink r:id="rId16">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xml:space="preserve"> will be filed within 60 days from the date the child enters foster care or the date the department opens a child welfare service case, whichever occurs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cases, the case plan shall be developed before services begin unless there is an unanticipated provision of service for the protection and well-being of a client. In that case, the case plan will be filed within 45 days from the date that services begin.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reevaluation of the case plan will include all components listed under </w:t>
      </w:r>
      <w:hyperlink r:id="rId17">
        <w:r>
          <w:rPr>
            <w:rStyle w:val="Hyperlink"/>
            <w:rFonts w:ascii="Times New Roman" w:hAnsi="Times New Roman"/>
            <w:b w:val="false"/>
            <w:i w:val="false"/>
            <w:color w:val="000000"/>
            <w:sz w:val="24"/>
          </w:rPr>
          <w:t>130.6(2)</w:t>
        </w:r>
      </w:hyperlink>
      <w:r>
        <w:rPr>
          <w:rFonts w:ascii="Times New Roman" w:hAnsi="Times New Roman"/>
          <w:b w:val="false"/>
          <w:i w:val="false"/>
          <w:color w:val="000000"/>
          <w:sz w:val="24"/>
        </w:rPr>
        <w:t xml:space="preserve"> and will be filed at least every six months or more often when there are significant changes, when required by the court, or when required according to the rules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130.6(5)</w:t>
      </w:r>
      <w:r>
        <w:rPr>
          <w:rFonts w:ascii="Times New Roman" w:hAnsi="Times New Roman"/>
          <w:b w:val="false"/>
          <w:i w:val="false"/>
          <w:color w:val="000000"/>
          <w:sz w:val="24"/>
        </w:rPr>
        <w:t> </w:t>
      </w:r>
      <w:r>
        <w:rPr>
          <w:rFonts w:ascii="Times New Roman" w:hAnsi="Times New Roman"/>
          <w:b w:val="false"/>
          <w:i w:val="false"/>
          <w:color w:val="000000"/>
          <w:sz w:val="24"/>
        </w:rPr>
        <w:t>The case plan may be amended between evaluation periods. Participants in the plan will receive a copy of the amendment.</w:t>
      </w:r>
    </w:p>
    <w:p>
      <w:pPr>
        <w:spacing w:before="210" w:after="0" w:line="480"/>
        <w:ind w:left="120"/>
        <w:jc w:val="both"/>
      </w:pPr>
      <w:r>
        <w:rPr>
          <w:rFonts w:ascii="Times New Roman" w:hAnsi="Times New Roman"/>
          <w:b/>
          <w:i w:val="false"/>
          <w:color w:val="000000"/>
          <w:sz w:val="24"/>
        </w:rPr>
        <w:t>441—130.7</w:t>
      </w:r>
      <w:r>
        <w:rPr>
          <w:rFonts w:ascii="Times New Roman" w:hAnsi="Times New Roman"/>
          <w:b/>
          <w:i w:val="false"/>
          <w:color w:val="000000"/>
          <w:sz w:val="24"/>
        </w:rPr>
        <w:t xml:space="preserve">(234) </w:t>
      </w:r>
      <w:r>
        <w:rPr>
          <w:rFonts w:ascii="Times New Roman" w:hAnsi="Times New Roman"/>
          <w:b/>
          <w:i w:val="false"/>
          <w:color w:val="000000"/>
          <w:sz w:val="24"/>
        </w:rPr>
        <w:t xml:space="preserve">Entitlement. </w:t>
      </w:r>
      <w:r>
        <w:rPr>
          <w:rFonts w:ascii="Times New Roman" w:hAnsi="Times New Roman"/>
          <w:b w:val="false"/>
          <w:i w:val="false"/>
          <w:color w:val="000000"/>
          <w:sz w:val="24"/>
        </w:rPr>
        <w:t>There is no automatic right to ongoing service in any service category from one fiscal year to the next.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8">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ac/rule/441.130.6.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co/chapter/425.pdf" Type="http://schemas.openxmlformats.org/officeDocument/2006/relationships/hyperlink" Id="rId9"/>
    <Relationship TargetMode="External" Target="https://www.legis.iowa.gov/docs/iac/chapter/441.16.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ac/chapter/441.24.pdf" Type="http://schemas.openxmlformats.org/officeDocument/2006/relationships/hyperlink" Id="rId13"/>
    <Relationship TargetMode="External" Target="https://www.legis.iowa.gov/docs/iac/chapter/441.24.pdf" Type="http://schemas.openxmlformats.org/officeDocument/2006/relationships/hyperlink" Id="rId14"/>
    <Relationship TargetMode="External" Target="https://www.legis.iowa.gov/docs/iac/rule/441.130.2.pdf" Type="http://schemas.openxmlformats.org/officeDocument/2006/relationships/hyperlink" Id="rId15"/>
    <Relationship TargetMode="External" Target="https://www.legis.iowa.gov/docs/ico/chapter/232.2.pdf" Type="http://schemas.openxmlformats.org/officeDocument/2006/relationships/hyperlink" Id="rId16"/>
    <Relationship TargetMode="External" Target="https://www.legis.iowa.gov/docs/iac/rule/441.130.6.pdf" Type="http://schemas.openxmlformats.org/officeDocument/2006/relationships/hyperlink" Id="rId17"/>
    <Relationship TargetMode="External" Target="https://www.legis.iowa.gov/docs/ico/chapter/234.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