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line="480"/>
        <w:ind w:left="120"/>
        <w:jc w:val="left"/>
      </w:pPr>
      <w:bookmarkStart w:name="firstARC" w:id="0"/>
      <w:bookmarkEnd w:id="0"/>
    </w:p>
    <w:bookmarkStart w:name="arc0614D" w:id="1"/>
    <w:p>
      <w:pPr>
        <w:spacing w:before="0" w:after="0" w:line="480"/>
        <w:ind w:left="120"/>
        <w:jc w:val="right"/>
      </w:pPr>
      <w:r>
        <w:rPr>
          <w:rFonts w:ascii="Times New Roman" w:hAnsi="Times New Roman"/>
          <w:b/>
          <w:i w:val="false"/>
          <w:color w:val="000000"/>
          <w:sz w:val="28"/>
        </w:rPr>
        <w:t>ARC 0614D</w:t>
      </w:r>
    </w:p>
    <w:bookmarkEnd w:id="1"/>
    <w:p>
      <w:pPr>
        <w:pBdr>
          <w:top w:space="5"/>
        </w:pBdr>
        <w:spacing w:before="0" w:after="0" w:line="480"/>
        <w:ind w:left="120"/>
        <w:jc w:val="center"/>
      </w:pPr>
      <w:r>
        <w:rPr>
          <w:rFonts w:ascii="Times New Roman" w:hAnsi="Times New Roman"/>
          <w:b/>
          <w:i w:val="false"/>
          <w:color w:val="000000"/>
          <w:sz w:val="28"/>
        </w:rPr>
        <w:t>CORRECTIONS DEPARTMENT[201]</w:t>
      </w:r>
    </w:p>
    <w:p>
      <w:pPr>
        <w:pBdr>
          <w:top w:space="2"/>
        </w:pBdr>
        <w:spacing w:before="0" w:after="0" w:line="480"/>
        <w:ind w:left="120"/>
        <w:jc w:val="center"/>
      </w:pPr>
      <w:r>
        <w:rPr>
          <w:rFonts w:ascii="Times New Roman" w:hAnsi="Times New Roman"/>
          <w:b/>
          <w:i w:val="false"/>
          <w:color w:val="000000"/>
          <w:sz w:val="24"/>
        </w:rPr>
        <w:t>Notice of Intended Action</w:t>
      </w:r>
    </w:p>
    <w:p>
      <w:pPr>
        <w:spacing w:before="0" w:after="0" w:line="480"/>
        <w:ind w:left="120"/>
        <w:jc w:val="center"/>
      </w:pPr>
      <w:r>
        <w:rPr>
          <w:rFonts w:ascii="Times New Roman" w:hAnsi="Times New Roman"/>
          <w:b/>
          <w:i w:val="false"/>
          <w:color w:val="000000"/>
          <w:sz w:val="24"/>
        </w:rPr>
        <w:t xml:space="preserve">Proposing rulemaking related to community-based corrections </w:t>
      </w:r>
      <w:r>
        <w:br/>
      </w:r>
      <w:r>
        <w:rPr>
          <w:rFonts w:ascii="Times New Roman" w:hAnsi="Times New Roman"/>
          <w:b/>
          <w:i w:val="false"/>
          <w:color w:val="000000"/>
          <w:sz w:val="24"/>
        </w:rPr>
        <w:t>and providing an opportunity for public comment</w:t>
      </w:r>
    </w:p>
    <w:p>
      <w:pPr>
        <w:pBdr>
          <w:top w:space="5"/>
        </w:pBdr>
        <w:spacing w:before="0" w:after="0" w:line="480"/>
        <w:ind w:left="120"/>
        <w:jc w:val="both"/>
      </w:pPr>
      <w:r>
        <w:rPr>
          <w:rFonts w:ascii="Times New Roman" w:hAnsi="Times New Roman"/>
          <w:b w:val="false"/>
          <w:i w:val="false"/>
          <w:color w:val="000000"/>
          <w:sz w:val="24"/>
        </w:rPr>
        <w:t>    The Department of Corrections hereby proposes to rescind Chapter 40, “Community-Based Corrections Administration,” and to adopt a new Chapter 40, “Community-Based Corrections,” and to rescind Chapter 41, “Preconviction Service,” Chapter 42, “Probation Services,” Chapter 43, “Residential Facilities,” Chapter 44, “Work Release,” Chapter 45, “Parole,” and Chapter 47, “OWI Programs,” Iowa Administrative Code.</w:t>
      </w:r>
    </w:p>
    <w:p>
      <w:pPr>
        <w:pBdr>
          <w:top w:space="2"/>
        </w:pBdr>
        <w:spacing w:before="0" w:after="0" w:line="480"/>
        <w:ind w:left="120"/>
        <w:jc w:val="center"/>
      </w:pPr>
      <w:r>
        <w:rPr>
          <w:rFonts w:ascii="Times New Roman" w:hAnsi="Times New Roman"/>
          <w:b w:val="false"/>
          <w:i/>
          <w:color w:val="000000"/>
          <w:sz w:val="24"/>
        </w:rPr>
        <w:t>Legal Authority for Rulemaking</w:t>
      </w:r>
    </w:p>
    <w:p>
      <w:pPr>
        <w:pBdr>
          <w:top w:space="5"/>
        </w:pBdr>
        <w:spacing w:before="0" w:after="0" w:line="480"/>
        <w:ind w:left="120"/>
        <w:jc w:val="both"/>
      </w:pPr>
      <w:r>
        <w:rPr>
          <w:rFonts w:ascii="Times New Roman" w:hAnsi="Times New Roman"/>
          <w:b w:val="false"/>
          <w:i w:val="false"/>
          <w:color w:val="000000"/>
          <w:sz w:val="24"/>
        </w:rPr>
        <w:t>    This rulemaking is proposed under the authority provided in Iowa Code section 904.108.</w:t>
      </w:r>
    </w:p>
    <w:p>
      <w:pPr>
        <w:pBdr>
          <w:top w:space="2"/>
        </w:pBdr>
        <w:spacing w:before="0" w:after="0" w:line="480"/>
        <w:ind w:left="120"/>
        <w:jc w:val="center"/>
      </w:pPr>
      <w:r>
        <w:rPr>
          <w:rFonts w:ascii="Times New Roman" w:hAnsi="Times New Roman"/>
          <w:b w:val="false"/>
          <w:i/>
          <w:color w:val="000000"/>
          <w:sz w:val="24"/>
        </w:rPr>
        <w:t>State or Federal Law Implemented</w:t>
      </w:r>
    </w:p>
    <w:p>
      <w:pPr>
        <w:pBdr>
          <w:top w:space="5"/>
        </w:pBdr>
        <w:spacing w:before="0" w:after="0" w:line="480"/>
        <w:ind w:left="120"/>
        <w:jc w:val="both"/>
      </w:pPr>
      <w:r>
        <w:rPr>
          <w:rFonts w:ascii="Times New Roman" w:hAnsi="Times New Roman"/>
          <w:b w:val="false"/>
          <w:i w:val="false"/>
          <w:color w:val="000000"/>
          <w:sz w:val="24"/>
        </w:rPr>
        <w:t>    This rulemaking implements, in whole or in part, Iowa Code chapters 321J, 811, 901, 904, 906, 907, 908, and 910.</w:t>
      </w:r>
    </w:p>
    <w:p>
      <w:pPr>
        <w:pBdr>
          <w:top w:space="2"/>
        </w:pBdr>
        <w:spacing w:before="0" w:after="0" w:line="480"/>
        <w:ind w:left="120"/>
        <w:jc w:val="center"/>
      </w:pPr>
      <w:r>
        <w:rPr>
          <w:rFonts w:ascii="Times New Roman" w:hAnsi="Times New Roman"/>
          <w:b w:val="false"/>
          <w:i/>
          <w:color w:val="000000"/>
          <w:sz w:val="24"/>
        </w:rPr>
        <w:t>Purpose and Summary</w:t>
      </w:r>
    </w:p>
    <w:p>
      <w:pPr>
        <w:pBdr>
          <w:top w:space="5"/>
        </w:pBdr>
        <w:spacing w:before="0" w:after="0" w:line="480"/>
        <w:ind w:left="120"/>
        <w:jc w:val="both"/>
      </w:pPr>
      <w:r>
        <w:rPr>
          <w:rFonts w:ascii="Times New Roman" w:hAnsi="Times New Roman"/>
          <w:b w:val="false"/>
          <w:i w:val="false"/>
          <w:color w:val="000000"/>
          <w:sz w:val="24"/>
        </w:rPr>
        <w:t>    This proposed rulemaking rescinds and replaces Chapter 40 with a consolidated, unified regulatory framework to satisfy the requirements of Executive Order 10. The purpose of Chapter 40 is to govern the administration and delivery of all Community-Based Corrections (CBC) services across the State’s eight district departments, including preconviction, probation, parole, residential, work release, and operating a motor vehicle while under the influence (OWI) programming. Pursuant to Executive Order 10, the Department conducted a comprehensive review of the CBC administrative rules to eliminate restrictive terms, obsolete rules, and language that duplicates State statutes. This proposed rulemaking takes essential mandates previously scattered across standalone chapters (Chapters 40 through 45 and 47) and organizes them into a single cohesive chapter while preserving essential safety and service requirements and achieving the regulatory benefit in a more efficient and less burdensome format.</w:t>
      </w:r>
    </w:p>
    <w:p>
      <w:pPr>
        <w:pBdr>
          <w:top w:space="2"/>
        </w:pBdr>
        <w:spacing w:before="0" w:after="0" w:line="480"/>
        <w:ind w:left="120"/>
        <w:jc w:val="center"/>
      </w:pPr>
      <w:r>
        <w:rPr>
          <w:rFonts w:ascii="Times New Roman" w:hAnsi="Times New Roman"/>
          <w:b w:val="false"/>
          <w:i/>
          <w:color w:val="000000"/>
          <w:sz w:val="24"/>
        </w:rPr>
        <w:t>Regulatory Analysis</w:t>
      </w:r>
    </w:p>
    <w:p>
      <w:pPr>
        <w:spacing w:before="0" w:after="0" w:line="480"/>
        <w:ind w:left="120"/>
        <w:jc w:val="both"/>
      </w:pPr>
      <w:r>
        <w:rPr>
          <w:rFonts w:ascii="Times New Roman" w:hAnsi="Times New Roman"/>
          <w:b w:val="false"/>
          <w:i w:val="false"/>
          <w:color w:val="000000"/>
          <w:sz w:val="24"/>
        </w:rPr>
        <w:t xml:space="preserve">    A Regulatory Analysis for this rulemaking was published in the Iowa Administrative Bulletin on August 5, 2026. A public hearing was held on the following date(s): </w:t>
      </w:r>
    </w:p>
    <w:p>
      <w:pPr>
        <w:spacing w:before="0" w:after="0" w:line="480"/>
        <w:ind w:left="120"/>
        <w:jc w:val="both"/>
      </w:pPr>
      <w:r>
        <w:rPr>
          <w:rFonts w:ascii="Times New Roman" w:hAnsi="Times New Roman"/>
          <w:b w:val="false"/>
          <w:i w:val="false"/>
          <w:color w:val="000000"/>
          <w:sz w:val="24"/>
        </w:rPr>
        <w:t>     ●   </w:t>
      </w:r>
      <w:r>
        <w:rPr>
          <w:rFonts w:ascii="Times New Roman" w:hAnsi="Times New Roman"/>
          <w:b w:val="false"/>
          <w:i w:val="false"/>
          <w:color w:val="000000"/>
          <w:sz w:val="24"/>
        </w:rPr>
        <w:t>August 25, 2026</w:t>
      </w:r>
    </w:p>
    <w:p>
      <w:pPr>
        <w:pBdr>
          <w:top w:space="2"/>
        </w:pBdr>
        <w:spacing w:before="0" w:after="0" w:line="480"/>
        <w:ind w:left="120"/>
        <w:jc w:val="center"/>
      </w:pPr>
      <w:r>
        <w:rPr>
          <w:rFonts w:ascii="Times New Roman" w:hAnsi="Times New Roman"/>
          <w:b w:val="false"/>
          <w:i/>
          <w:color w:val="000000"/>
          <w:sz w:val="24"/>
        </w:rPr>
        <w:t>Fiscal Impact</w:t>
      </w:r>
    </w:p>
    <w:p>
      <w:pPr>
        <w:pBdr>
          <w:top w:space="5"/>
        </w:pBdr>
        <w:spacing w:before="0" w:after="0" w:line="480"/>
        <w:ind w:left="120"/>
        <w:jc w:val="both"/>
      </w:pPr>
      <w:r>
        <w:rPr>
          <w:rFonts w:ascii="Times New Roman" w:hAnsi="Times New Roman"/>
          <w:b w:val="false"/>
          <w:i w:val="false"/>
          <w:color w:val="000000"/>
          <w:sz w:val="24"/>
        </w:rPr>
        <w:t xml:space="preserve">    This rulemaking has no fiscal impact to the State of Iowa. </w:t>
      </w:r>
    </w:p>
    <w:p>
      <w:pPr>
        <w:pBdr>
          <w:top w:space="2"/>
        </w:pBdr>
        <w:spacing w:before="0" w:after="0" w:line="480"/>
        <w:ind w:left="120"/>
        <w:jc w:val="center"/>
      </w:pPr>
      <w:r>
        <w:rPr>
          <w:rFonts w:ascii="Times New Roman" w:hAnsi="Times New Roman"/>
          <w:b w:val="false"/>
          <w:i/>
          <w:color w:val="000000"/>
          <w:sz w:val="24"/>
        </w:rPr>
        <w:t>Jobs Impact</w:t>
      </w:r>
    </w:p>
    <w:p>
      <w:pPr>
        <w:pBdr>
          <w:top w:space="5"/>
        </w:pBdr>
        <w:spacing w:before="0" w:after="0" w:line="480"/>
        <w:ind w:left="120"/>
        <w:jc w:val="both"/>
      </w:pPr>
      <w:r>
        <w:rPr>
          <w:rFonts w:ascii="Times New Roman" w:hAnsi="Times New Roman"/>
          <w:b w:val="false"/>
          <w:i w:val="false"/>
          <w:color w:val="000000"/>
          <w:sz w:val="24"/>
        </w:rPr>
        <w:t>    After analysis and review of this rulemaking, no impact on jobs has been found.</w:t>
      </w:r>
    </w:p>
    <w:p>
      <w:pPr>
        <w:pBdr>
          <w:top w:space="2"/>
        </w:pBdr>
        <w:spacing w:before="0" w:after="0" w:line="480"/>
        <w:ind w:left="120"/>
        <w:jc w:val="center"/>
      </w:pPr>
      <w:r>
        <w:rPr>
          <w:rFonts w:ascii="Times New Roman" w:hAnsi="Times New Roman"/>
          <w:b w:val="false"/>
          <w:i/>
          <w:color w:val="000000"/>
          <w:sz w:val="24"/>
        </w:rPr>
        <w:t>Waivers</w:t>
      </w:r>
    </w:p>
    <w:p>
      <w:pPr>
        <w:pBdr>
          <w:top w:space="5"/>
        </w:pBdr>
        <w:spacing w:before="0" w:after="0" w:line="480"/>
        <w:ind w:left="120"/>
        <w:jc w:val="both"/>
      </w:pPr>
      <w:r>
        <w:rPr>
          <w:rFonts w:ascii="Times New Roman" w:hAnsi="Times New Roman"/>
          <w:b w:val="false"/>
          <w:i w:val="false"/>
          <w:color w:val="000000"/>
          <w:sz w:val="24"/>
        </w:rPr>
        <w:t xml:space="preserve">    Any person who believes that the application of the discretionary provisions of this rulemaking would result in hardship or injustice to that person may petition the Department for a waiver of the discretionary provisions, if any, pursuant to 201—Chapter 2504. </w:t>
      </w:r>
    </w:p>
    <w:p>
      <w:pPr>
        <w:pBdr>
          <w:top w:space="2"/>
        </w:pBdr>
        <w:spacing w:before="0" w:after="0" w:line="480"/>
        <w:ind w:left="120"/>
        <w:jc w:val="center"/>
      </w:pPr>
      <w:r>
        <w:rPr>
          <w:rFonts w:ascii="Times New Roman" w:hAnsi="Times New Roman"/>
          <w:b w:val="false"/>
          <w:i/>
          <w:color w:val="000000"/>
          <w:sz w:val="24"/>
        </w:rPr>
        <w:t>Public Comment</w:t>
      </w:r>
    </w:p>
    <w:p>
      <w:pPr>
        <w:pBdr>
          <w:top w:space="5"/>
        </w:pBdr>
        <w:spacing w:before="0" w:after="0" w:line="480"/>
        <w:ind w:left="120"/>
        <w:jc w:val="both"/>
      </w:pPr>
      <w:r>
        <w:rPr>
          <w:rFonts w:ascii="Times New Roman" w:hAnsi="Times New Roman"/>
          <w:b w:val="false"/>
          <w:i w:val="false"/>
          <w:color w:val="000000"/>
          <w:sz w:val="24"/>
        </w:rPr>
        <w:t xml:space="preserve">    Any interested person may submit written or oral comments concerning this proposed rulemaking, which must be received by the Department no later than 4:30 p.m. on October 20, 2026. Comments should be directed to: </w:t>
      </w:r>
    </w:p>
    <w:tbl>
      <w:tblPr>
        <w:tblW w:w="0" w:type="auto"/>
        <w:tblCellSpacing w:w="0" w:type="auto"/>
        <w:tblBorders>
          <w:top w:val="none"/>
          <w:left w:val="none"/>
          <w:bottom w:val="none"/>
          <w:right w:val="none"/>
          <w:insideH w:val="none"/>
          <w:insideV w:val="none"/>
        </w:tblBorders>
        <w:tblLayout w:type="fixed"/>
      </w:tblPr>
      <w:tblGrid>
        <w:gridCol w:w="8952"/>
      </w:tblGrid>
      <w:tr>
        <w:trPr>
          <w:trHeight w:val="1110" w:hRule="atLeast"/>
        </w:trPr>
        <w:tc>
          <w:tcPr>
            <w:tcW w:w="8952"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xml:space="preserve">Jen Rathje </w:t>
            </w:r>
            <w:r>
              <w:br/>
            </w:r>
            <w:r>
              <w:rPr>
                <w:rFonts w:ascii="Times New Roman" w:hAnsi="Times New Roman"/>
                <w:b w:val="false"/>
                <w:i w:val="false"/>
                <w:color w:val="000000"/>
                <w:sz w:val="14"/>
              </w:rPr>
              <w:t xml:space="preserve">Iowa Department of Corrections </w:t>
            </w:r>
            <w:r>
              <w:br/>
            </w:r>
            <w:r>
              <w:rPr>
                <w:rFonts w:ascii="Times New Roman" w:hAnsi="Times New Roman"/>
                <w:b w:val="false"/>
                <w:i w:val="false"/>
                <w:color w:val="000000"/>
                <w:sz w:val="14"/>
              </w:rPr>
              <w:t>Jessie Parker Building</w:t>
            </w:r>
            <w:r>
              <w:br/>
            </w:r>
            <w:r>
              <w:rPr>
                <w:rFonts w:ascii="Times New Roman" w:hAnsi="Times New Roman"/>
                <w:b w:val="false"/>
                <w:i w:val="false"/>
                <w:color w:val="000000"/>
                <w:sz w:val="14"/>
              </w:rPr>
              <w:t>510 East 12th Street</w:t>
            </w:r>
            <w:r>
              <w:br/>
            </w:r>
            <w:r>
              <w:rPr>
                <w:rFonts w:ascii="Times New Roman" w:hAnsi="Times New Roman"/>
                <w:b w:val="false"/>
                <w:i w:val="false"/>
                <w:color w:val="000000"/>
                <w:sz w:val="14"/>
              </w:rPr>
              <w:t xml:space="preserve">Des Moines, Iowa 50319 </w:t>
            </w:r>
            <w:r>
              <w:br/>
            </w:r>
            <w:r>
              <w:rPr>
                <w:rFonts w:ascii="Times New Roman" w:hAnsi="Times New Roman"/>
                <w:b w:val="false"/>
                <w:i w:val="false"/>
                <w:color w:val="000000"/>
                <w:sz w:val="14"/>
              </w:rPr>
              <w:t xml:space="preserve">Phone: 515.802.0898 </w:t>
            </w:r>
            <w:r>
              <w:br/>
            </w:r>
            <w:r>
              <w:rPr>
                <w:rFonts w:ascii="Times New Roman" w:hAnsi="Times New Roman"/>
                <w:b w:val="false"/>
                <w:i w:val="false"/>
                <w:color w:val="000000"/>
                <w:sz w:val="14"/>
              </w:rPr>
              <w:t xml:space="preserve">Email: </w:t>
            </w:r>
            <w:hyperlink r:id="rId4">
              <w:r>
                <w:rPr>
                  <w:rStyle w:val="Hyperlink"/>
                  <w:rFonts w:ascii="Times New Roman" w:hAnsi="Times New Roman"/>
                  <w:b w:val="false"/>
                  <w:i w:val="false"/>
                  <w:color w:val="0000ff"/>
                  <w:sz w:val="14"/>
                </w:rPr>
                <w:t>jen.rathje1@iowa.gov</w:t>
              </w:r>
            </w:hyperlink>
          </w:p>
        </w:tc>
      </w:tr>
    </w:tbl>
    <w:p>
      <w:pPr>
        <w:pBdr>
          <w:top w:space="2"/>
        </w:pBdr>
        <w:spacing w:before="0" w:after="0" w:line="480"/>
        <w:ind w:left="120"/>
        <w:jc w:val="center"/>
      </w:pPr>
      <w:r>
        <w:rPr>
          <w:rFonts w:ascii="Times New Roman" w:hAnsi="Times New Roman"/>
          <w:b w:val="false"/>
          <w:i/>
          <w:color w:val="000000"/>
          <w:sz w:val="24"/>
        </w:rPr>
        <w:t>Public Hearing</w:t>
      </w:r>
    </w:p>
    <w:p>
      <w:pPr>
        <w:pBdr>
          <w:top w:space="5"/>
        </w:pBdr>
        <w:spacing w:before="0" w:after="0" w:line="480"/>
        <w:ind w:left="120"/>
        <w:jc w:val="both"/>
      </w:pPr>
      <w:r>
        <w:rPr>
          <w:rFonts w:ascii="Times New Roman" w:hAnsi="Times New Roman"/>
          <w:b w:val="false"/>
          <w:i w:val="false"/>
          <w:color w:val="000000"/>
          <w:sz w:val="24"/>
        </w:rPr>
        <w:t xml:space="preserve">    Public hearings at which persons may present their views orally or in writing will be held as follows: </w:t>
      </w:r>
    </w:p>
    <w:tbl>
      <w:tblPr>
        <w:tblW w:w="0" w:type="auto"/>
        <w:tblCellSpacing w:w="0" w:type="auto"/>
        <w:tblBorders>
          <w:top w:val="none"/>
          <w:left w:val="none"/>
          <w:bottom w:val="none"/>
          <w:right w:val="none"/>
          <w:insideH w:val="none"/>
          <w:insideV w:val="none"/>
        </w:tblBorders>
        <w:tblLayout w:type="fixed"/>
      </w:tblPr>
      <w:tblGrid>
        <w:gridCol w:w="4476"/>
        <w:gridCol w:w="4476"/>
      </w:tblGrid>
      <w:tr>
        <w:trPr>
          <w:trHeight w:val="645" w:hRule="atLeast"/>
        </w:trPr>
        <w:tc>
          <w:tcPr>
            <w:tcW w:w="4476"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October 20, 2026</w:t>
            </w:r>
            <w:r>
              <w:br/>
            </w:r>
            <w:r>
              <w:rPr>
                <w:rFonts w:ascii="Times New Roman" w:hAnsi="Times New Roman"/>
                <w:b w:val="false"/>
                <w:i w:val="false"/>
                <w:color w:val="000000"/>
                <w:sz w:val="14"/>
              </w:rPr>
              <w:t xml:space="preserve">9:30 to 10:30 a.m. </w:t>
            </w:r>
          </w:p>
        </w:tc>
        <w:tc>
          <w:tcPr>
            <w:tcW w:w="4476"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xml:space="preserve">Via Google Meet Video at </w:t>
            </w:r>
            <w:r>
              <w:br/>
            </w:r>
            <w:hyperlink r:id="rId5">
              <w:r>
                <w:rPr>
                  <w:rStyle w:val="Hyperlink"/>
                  <w:rFonts w:ascii="Times New Roman" w:hAnsi="Times New Roman"/>
                  <w:b w:val="false"/>
                  <w:i w:val="false"/>
                  <w:color w:val="0000ff"/>
                  <w:sz w:val="14"/>
                </w:rPr>
                <w:t>meet.google.com/ahi-ycey-mmc</w:t>
              </w:r>
            </w:hyperlink>
            <w:r>
              <w:br/>
            </w:r>
            <w:r>
              <w:rPr>
                <w:rFonts w:ascii="Times New Roman" w:hAnsi="Times New Roman"/>
                <w:b w:val="false"/>
                <w:i w:val="false"/>
                <w:color w:val="000000"/>
                <w:sz w:val="14"/>
              </w:rPr>
              <w:t xml:space="preserve">Or dial: ‪(US) +1 262.674.7955‬ </w:t>
            </w:r>
            <w:r>
              <w:br/>
            </w:r>
            <w:r>
              <w:rPr>
                <w:rFonts w:ascii="Times New Roman" w:hAnsi="Times New Roman"/>
                <w:b w:val="false"/>
                <w:i w:val="false"/>
                <w:color w:val="000000"/>
                <w:sz w:val="14"/>
              </w:rPr>
              <w:t>PIN: ‪724 733 906‬#</w:t>
            </w:r>
          </w:p>
        </w:tc>
      </w:tr>
      <w:tr>
        <w:trPr>
          <w:trHeight w:val="645" w:hRule="atLeast"/>
        </w:trPr>
        <w:tc>
          <w:tcPr>
            <w:tcW w:w="4476"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October 20, 2026</w:t>
            </w:r>
            <w:r>
              <w:br/>
            </w:r>
            <w:r>
              <w:rPr>
                <w:rFonts w:ascii="Times New Roman" w:hAnsi="Times New Roman"/>
                <w:b w:val="false"/>
                <w:i w:val="false"/>
                <w:color w:val="000000"/>
                <w:sz w:val="14"/>
              </w:rPr>
              <w:t xml:space="preserve">1:30 to 2:30 p.m. </w:t>
            </w:r>
          </w:p>
        </w:tc>
        <w:tc>
          <w:tcPr>
            <w:tcW w:w="4476"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xml:space="preserve">Via Google Meet Video at </w:t>
            </w:r>
            <w:r>
              <w:br/>
            </w:r>
            <w:hyperlink r:id="rId6">
              <w:r>
                <w:rPr>
                  <w:rStyle w:val="Hyperlink"/>
                  <w:rFonts w:ascii="Times New Roman" w:hAnsi="Times New Roman"/>
                  <w:b w:val="false"/>
                  <w:i w:val="false"/>
                  <w:color w:val="0000ff"/>
                  <w:sz w:val="14"/>
                </w:rPr>
                <w:t>meet.google.com/sqq-hehw-aqh</w:t>
              </w:r>
            </w:hyperlink>
            <w:r>
              <w:br/>
            </w:r>
            <w:r>
              <w:rPr>
                <w:rFonts w:ascii="Times New Roman" w:hAnsi="Times New Roman"/>
                <w:b w:val="false"/>
                <w:i w:val="false"/>
                <w:color w:val="000000"/>
                <w:sz w:val="14"/>
              </w:rPr>
              <w:t xml:space="preserve">Or dial: ‪(US) +1 402.732.7226‬ </w:t>
            </w:r>
            <w:r>
              <w:br/>
            </w:r>
            <w:r>
              <w:rPr>
                <w:rFonts w:ascii="Times New Roman" w:hAnsi="Times New Roman"/>
                <w:b w:val="false"/>
                <w:i w:val="false"/>
                <w:color w:val="000000"/>
                <w:sz w:val="14"/>
              </w:rPr>
              <w:t>PIN: ‪876 842 527‬#</w:t>
            </w:r>
          </w:p>
        </w:tc>
      </w:tr>
    </w:tbl>
    <w:p>
      <w:pPr>
        <w:pBdr>
          <w:top w:space="5"/>
        </w:pBdr>
        <w:spacing w:before="0" w:after="0" w:line="480"/>
        <w:ind w:left="120"/>
        <w:jc w:val="both"/>
      </w:pPr>
      <w:r>
        <w:rPr>
          <w:rFonts w:ascii="Times New Roman" w:hAnsi="Times New Roman"/>
          <w:b w:val="false"/>
          <w:i w:val="false"/>
          <w:color w:val="000000"/>
          <w:sz w:val="24"/>
        </w:rPr>
        <w:t>    Persons who wish to make oral comments at a public hearing may be asked to state their names for the record and to confine their remarks to the subject of this proposed rulemaking.</w:t>
      </w:r>
    </w:p>
    <w:p>
      <w:pPr>
        <w:spacing w:before="0" w:after="0" w:line="480"/>
        <w:ind w:left="120"/>
        <w:jc w:val="both"/>
      </w:pPr>
      <w:r>
        <w:rPr>
          <w:rFonts w:ascii="Times New Roman" w:hAnsi="Times New Roman"/>
          <w:b w:val="false"/>
          <w:i w:val="false"/>
          <w:color w:val="000000"/>
          <w:sz w:val="24"/>
        </w:rPr>
        <w:t xml:space="preserve">    Any persons who intend to attend a public hearing and have special requirements, such as those related to hearing or mobility impairments, should contact the Department and advise of specific needs. </w:t>
      </w:r>
    </w:p>
    <w:p>
      <w:pPr>
        <w:pBdr>
          <w:top w:space="2"/>
        </w:pBdr>
        <w:spacing w:before="0" w:after="0" w:line="480"/>
        <w:ind w:left="120"/>
        <w:jc w:val="center"/>
      </w:pPr>
      <w:r>
        <w:rPr>
          <w:rFonts w:ascii="Times New Roman" w:hAnsi="Times New Roman"/>
          <w:b w:val="false"/>
          <w:i/>
          <w:color w:val="000000"/>
          <w:sz w:val="24"/>
        </w:rPr>
        <w:t>Review by Administrative Rules Review Committee</w:t>
      </w:r>
    </w:p>
    <w:p>
      <w:pPr>
        <w:pBdr>
          <w:top w:space="5"/>
        </w:pBdr>
        <w:spacing w:before="0" w:after="0" w:line="480"/>
        <w:ind w:left="120"/>
        <w:jc w:val="both"/>
      </w:pPr>
      <w:r>
        <w:rPr>
          <w:rFonts w:ascii="Times New Roman" w:hAnsi="Times New Roman"/>
          <w:b w:val="false"/>
          <w:i w:val="false"/>
          <w:color w:val="000000"/>
          <w:sz w:val="24"/>
        </w:rPr>
        <w:t xml:space="preserve">    The Administrative Rules Review Committee, a bipartisan legislative committee which oversees rulemaking by executive branch agencies, may, on its own motion or on written request by any individual or group, review this rulemaking at its </w:t>
      </w:r>
      <w:hyperlink r:id="rId7">
        <w:r>
          <w:rPr>
            <w:rStyle w:val="Hyperlink"/>
            <w:rFonts w:ascii="Times New Roman" w:hAnsi="Times New Roman"/>
            <w:b w:val="false"/>
            <w:i w:val="false"/>
            <w:color w:val="0000ff"/>
            <w:sz w:val="24"/>
          </w:rPr>
          <w:t>regular monthly meeting</w:t>
        </w:r>
      </w:hyperlink>
      <w:r>
        <w:rPr>
          <w:rFonts w:ascii="Times New Roman" w:hAnsi="Times New Roman"/>
          <w:b w:val="false"/>
          <w:i w:val="false"/>
          <w:color w:val="000000"/>
          <w:sz w:val="24"/>
        </w:rPr>
        <w:t xml:space="preserve"> or at a special meeting. The Committee’s meetings are open to the public, and interested persons may be heard as provided in Iowa Code section 17A.8(6).</w:t>
      </w:r>
    </w:p>
    <w:p>
      <w:pPr>
        <w:pBdr>
          <w:top w:space="5"/>
        </w:pBdr>
        <w:spacing w:before="0" w:after="0" w:line="480"/>
        <w:ind w:left="120"/>
        <w:jc w:val="both"/>
      </w:pPr>
      <w:r>
        <w:rPr>
          <w:rFonts w:ascii="Times New Roman" w:hAnsi="Times New Roman"/>
          <w:b w:val="false"/>
          <w:i w:val="false"/>
          <w:color w:val="000000"/>
          <w:sz w:val="24"/>
        </w:rPr>
        <w:t>    The following rulemaking action is proposed:</w:t>
      </w:r>
    </w:p>
    <w:p>
      <w:pPr>
        <w:spacing w:before="0" w:after="0" w:line="480"/>
        <w:ind w:left="120"/>
        <w:jc w:val="left"/>
      </w:pPr>
      <w:r>
        <w:rPr>
          <w:rFonts w:ascii="Times New Roman" w:hAnsi="Times New Roman"/>
          <w:b w:val="false"/>
          <w:i w:val="false"/>
          <w:color w:val="000000"/>
          <w:sz w:val="24"/>
        </w:rPr>
        <w:t>    </w:t>
      </w:r>
      <w:r>
        <w:rPr>
          <w:rFonts w:ascii="Times New Roman" w:hAnsi="Times New Roman"/>
          <w:b w:val="false"/>
          <w:i w:val="false"/>
          <w:color w:val="000000"/>
          <w:sz w:val="24"/>
        </w:rPr>
        <w:t>ITEM 1.</w:t>
      </w:r>
      <w:r>
        <w:rPr>
          <w:rFonts w:ascii="Times New Roman" w:hAnsi="Times New Roman"/>
          <w:b w:val="false"/>
          <w:i w:val="false"/>
          <w:color w:val="000000"/>
          <w:sz w:val="24"/>
        </w:rPr>
        <w:t>  </w:t>
      </w:r>
      <w:r>
        <w:rPr>
          <w:rFonts w:ascii="Times New Roman" w:hAnsi="Times New Roman"/>
          <w:b w:val="false"/>
          <w:i w:val="false"/>
          <w:color w:val="000000"/>
          <w:sz w:val="24"/>
        </w:rPr>
        <w:t xml:space="preserve">Rescind </w:t>
      </w:r>
      <w:r>
        <w:rPr>
          <w:rFonts w:ascii="Times New Roman" w:hAnsi="Times New Roman"/>
          <w:b w:val="false"/>
          <w:i w:val="false"/>
          <w:color w:val="000000"/>
          <w:sz w:val="24"/>
        </w:rPr>
        <w:t>201—Chapter 40</w:t>
      </w:r>
      <w:r>
        <w:rPr>
          <w:rFonts w:ascii="Times New Roman" w:hAnsi="Times New Roman"/>
          <w:b w:val="false"/>
          <w:i w:val="false"/>
          <w:color w:val="000000"/>
          <w:sz w:val="24"/>
        </w:rPr>
        <w:t xml:space="preserve"> and adopt the following </w:t>
      </w:r>
      <w:r>
        <w:rPr>
          <w:rFonts w:ascii="Times New Roman" w:hAnsi="Times New Roman"/>
          <w:b/>
          <w:i w:val="false"/>
          <w:color w:val="000000"/>
          <w:sz w:val="24"/>
        </w:rPr>
        <w:t>new</w:t>
      </w:r>
      <w:r>
        <w:rPr>
          <w:rFonts w:ascii="Times New Roman" w:hAnsi="Times New Roman"/>
          <w:b w:val="false"/>
          <w:i w:val="false"/>
          <w:color w:val="000000"/>
          <w:sz w:val="24"/>
        </w:rPr>
        <w:t xml:space="preserve"> chapter in lieu thereof:</w:t>
      </w:r>
    </w:p>
    <w:p>
      <w:pPr>
        <w:spacing w:before="0" w:after="0" w:line="480"/>
        <w:ind w:left="120"/>
        <w:jc w:val="both"/>
      </w:pPr>
    </w:p>
    <w:p>
      <w:pPr>
        <w:spacing w:before="0" w:after="0" w:line="480"/>
        <w:ind w:left="120"/>
        <w:jc w:val="center"/>
      </w:pPr>
      <w:r>
        <w:rPr>
          <w:rFonts w:ascii="Times New Roman" w:hAnsi="Times New Roman"/>
          <w:b w:val="false"/>
          <w:i w:val="false"/>
          <w:color w:val="000000"/>
          <w:sz w:val="16"/>
        </w:rPr>
        <w:t>TITLE III</w:t>
      </w:r>
    </w:p>
    <w:p>
      <w:pPr>
        <w:pBdr>
          <w:bottom w:space="3"/>
        </w:pBdr>
        <w:spacing w:before="0" w:after="0" w:line="480"/>
        <w:ind w:left="120"/>
        <w:jc w:val="center"/>
      </w:pPr>
      <w:r>
        <w:rPr>
          <w:rFonts w:ascii="Times New Roman" w:hAnsi="Times New Roman"/>
          <w:b w:val="false"/>
          <w:i/>
          <w:color w:val="000000"/>
          <w:sz w:val="24"/>
        </w:rPr>
        <w:t>COMMUNITY-BASED CORRECTIONS</w:t>
      </w:r>
    </w:p>
    <w:p>
      <w:pPr>
        <w:spacing w:before="0" w:after="0" w:line="48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4"/>
        </w:rPr>
        <w:t>40</w:t>
      </w:r>
    </w:p>
    <w:p>
      <w:pPr>
        <w:spacing w:before="0" w:after="0" w:line="480"/>
        <w:ind w:left="120"/>
        <w:jc w:val="center"/>
      </w:pPr>
      <w:r>
        <w:rPr>
          <w:rFonts w:ascii="Times New Roman" w:hAnsi="Times New Roman"/>
          <w:b w:val="false"/>
          <w:i w:val="false"/>
          <w:color w:val="000000"/>
          <w:sz w:val="21"/>
        </w:rPr>
        <w:t>COMMUNITY-BASED CORRECTIONS</w:t>
      </w:r>
    </w:p>
    <w:p>
      <w:pPr>
        <w:pBdr>
          <w:top w:space="10"/>
        </w:pBdr>
        <w:spacing w:before="0" w:after="0" w:line="480"/>
        <w:ind w:left="120"/>
        <w:jc w:val="center"/>
      </w:pPr>
      <w:r>
        <w:rPr>
          <w:rFonts w:ascii="Times New Roman" w:hAnsi="Times New Roman"/>
          <w:b w:val="false"/>
          <w:i w:val="false"/>
          <w:color w:val="000000"/>
          <w:sz w:val="16"/>
        </w:rPr>
        <w:t>DIVISION I</w:t>
      </w:r>
    </w:p>
    <w:p>
      <w:pPr>
        <w:pBdr>
          <w:bottom w:space="10"/>
        </w:pBdr>
        <w:spacing w:before="0" w:after="0" w:line="480"/>
        <w:ind w:left="120"/>
        <w:jc w:val="center"/>
      </w:pPr>
      <w:r>
        <w:rPr>
          <w:rFonts w:ascii="Times New Roman" w:hAnsi="Times New Roman"/>
          <w:b w:val="false"/>
          <w:i w:val="false"/>
          <w:color w:val="000000"/>
          <w:sz w:val="16"/>
        </w:rPr>
        <w:t>GENERAL PROVISIONS</w:t>
      </w:r>
    </w:p>
    <w:p>
      <w:pPr>
        <w:spacing w:before="0" w:after="0" w:line="480"/>
        <w:ind w:left="120"/>
        <w:jc w:val="both"/>
      </w:pPr>
      <w:r>
        <w:rPr>
          <w:rFonts w:ascii="Times New Roman" w:hAnsi="Times New Roman"/>
          <w:b/>
          <w:i w:val="false"/>
          <w:color w:val="000000"/>
          <w:sz w:val="24"/>
        </w:rPr>
        <w:t>201—40.1</w:t>
      </w:r>
      <w:r>
        <w:rPr>
          <w:rFonts w:ascii="Times New Roman" w:hAnsi="Times New Roman"/>
          <w:b/>
          <w:i w:val="false"/>
          <w:color w:val="000000"/>
          <w:sz w:val="24"/>
        </w:rPr>
        <w:t xml:space="preserve">(904) </w:t>
      </w:r>
      <w:r>
        <w:rPr>
          <w:rFonts w:ascii="Times New Roman" w:hAnsi="Times New Roman"/>
          <w:b/>
          <w:i w:val="false"/>
          <w:color w:val="000000"/>
          <w:sz w:val="24"/>
        </w:rPr>
        <w:t xml:space="preserve">Title III definitions.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“Community service”</w:t>
      </w:r>
      <w:r>
        <w:rPr>
          <w:rFonts w:ascii="Times New Roman" w:hAnsi="Times New Roman"/>
          <w:b w:val="false"/>
          <w:i w:val="false"/>
          <w:color w:val="000000"/>
          <w:sz w:val="24"/>
        </w:rPr>
        <w:t> </w:t>
      </w:r>
      <w:r>
        <w:rPr>
          <w:rFonts w:ascii="Times New Roman" w:hAnsi="Times New Roman"/>
          <w:b w:val="false"/>
          <w:i w:val="false"/>
          <w:color w:val="000000"/>
          <w:sz w:val="24"/>
        </w:rPr>
        <w:t xml:space="preserve">means unpaid public service as a condition of probation established pursuant to Iowa Code chapter </w:t>
      </w:r>
      <w:hyperlink r:id="rId8">
        <w:r>
          <w:rPr>
            <w:rStyle w:val="Hyperlink"/>
            <w:rFonts w:ascii="Times New Roman" w:hAnsi="Times New Roman"/>
            <w:b w:val="false"/>
            <w:i w:val="false"/>
            <w:color w:val="000000"/>
            <w:sz w:val="24"/>
          </w:rPr>
          <w:t>907</w:t>
        </w:r>
      </w:hyperlink>
      <w:r>
        <w:rPr>
          <w:rFonts w:ascii="Times New Roman" w:hAnsi="Times New Roman"/>
          <w:b w:val="false"/>
          <w:i w:val="false"/>
          <w:color w:val="000000"/>
          <w:sz w:val="24"/>
        </w:rPr>
        <w:t xml:space="preserve"> or in lieu of restitution as authorized in Iowa Code chapter </w:t>
      </w:r>
      <w:hyperlink r:id="rId9">
        <w:r>
          <w:rPr>
            <w:rStyle w:val="Hyperlink"/>
            <w:rFonts w:ascii="Times New Roman" w:hAnsi="Times New Roman"/>
            <w:b w:val="false"/>
            <w:i w:val="false"/>
            <w:color w:val="000000"/>
            <w:sz w:val="24"/>
          </w:rPr>
          <w:t>910</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“Conditions of probation”</w:t>
      </w:r>
      <w:r>
        <w:rPr>
          <w:rFonts w:ascii="Times New Roman" w:hAnsi="Times New Roman"/>
          <w:b w:val="false"/>
          <w:i w:val="false"/>
          <w:color w:val="000000"/>
          <w:sz w:val="24"/>
        </w:rPr>
        <w:t> </w:t>
      </w:r>
      <w:r>
        <w:rPr>
          <w:rFonts w:ascii="Times New Roman" w:hAnsi="Times New Roman"/>
          <w:b w:val="false"/>
          <w:i w:val="false"/>
          <w:color w:val="000000"/>
          <w:sz w:val="24"/>
        </w:rPr>
        <w:t xml:space="preserve">means the same as described in Iowa Code section </w:t>
      </w:r>
      <w:hyperlink r:id="rId10">
        <w:r>
          <w:rPr>
            <w:rStyle w:val="Hyperlink"/>
            <w:rFonts w:ascii="Times New Roman" w:hAnsi="Times New Roman"/>
            <w:b w:val="false"/>
            <w:i w:val="false"/>
            <w:color w:val="000000"/>
            <w:sz w:val="24"/>
          </w:rPr>
          <w:t>907.6</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“Contraband”</w:t>
      </w:r>
      <w:r>
        <w:rPr>
          <w:rFonts w:ascii="Times New Roman" w:hAnsi="Times New Roman"/>
          <w:b w:val="false"/>
          <w:i w:val="false"/>
          <w:color w:val="000000"/>
          <w:sz w:val="24"/>
        </w:rPr>
        <w:t> </w:t>
      </w:r>
      <w:r>
        <w:rPr>
          <w:rFonts w:ascii="Times New Roman" w:hAnsi="Times New Roman"/>
          <w:b w:val="false"/>
          <w:i w:val="false"/>
          <w:color w:val="000000"/>
          <w:sz w:val="24"/>
        </w:rPr>
        <w:t>means weapons, alcohol, drugs, money, obscene materials, or material advocating disruption of or injury to clients, employees, programs, or physical facilities. “Contraband” also includes anything that is illegal to possess under federal or state law, anything that is prohibited by the facility, or materials that are used in the production of drugs or alcohol or used in conjunction with the taking of illicit drugs.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“Department”</w:t>
      </w:r>
      <w:r>
        <w:rPr>
          <w:rFonts w:ascii="Times New Roman" w:hAnsi="Times New Roman"/>
          <w:b w:val="false"/>
          <w:i w:val="false"/>
          <w:color w:val="000000"/>
          <w:sz w:val="24"/>
        </w:rPr>
        <w:t> </w:t>
      </w:r>
      <w:r>
        <w:rPr>
          <w:rFonts w:ascii="Times New Roman" w:hAnsi="Times New Roman"/>
          <w:b w:val="false"/>
          <w:i w:val="false"/>
          <w:color w:val="000000"/>
          <w:sz w:val="24"/>
        </w:rPr>
        <w:t xml:space="preserve">means the Iowa department of corrections as defined in Iowa Code section </w:t>
      </w:r>
      <w:hyperlink r:id="rId11">
        <w:r>
          <w:rPr>
            <w:rStyle w:val="Hyperlink"/>
            <w:rFonts w:ascii="Times New Roman" w:hAnsi="Times New Roman"/>
            <w:b w:val="false"/>
            <w:i w:val="false"/>
            <w:color w:val="000000"/>
            <w:sz w:val="24"/>
          </w:rPr>
          <w:t>904.101(4)</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“District department”</w:t>
      </w:r>
      <w:r>
        <w:rPr>
          <w:rFonts w:ascii="Times New Roman" w:hAnsi="Times New Roman"/>
          <w:b w:val="false"/>
          <w:i w:val="false"/>
          <w:color w:val="000000"/>
          <w:sz w:val="24"/>
        </w:rPr>
        <w:t> </w:t>
      </w:r>
      <w:r>
        <w:rPr>
          <w:rFonts w:ascii="Times New Roman" w:hAnsi="Times New Roman"/>
          <w:b w:val="false"/>
          <w:i w:val="false"/>
          <w:color w:val="000000"/>
          <w:sz w:val="24"/>
        </w:rPr>
        <w:t xml:space="preserve">means the same as defined in Iowa Code section </w:t>
      </w:r>
      <w:hyperlink r:id="rId12">
        <w:r>
          <w:rPr>
            <w:rStyle w:val="Hyperlink"/>
            <w:rFonts w:ascii="Times New Roman" w:hAnsi="Times New Roman"/>
            <w:b w:val="false"/>
            <w:i w:val="false"/>
            <w:color w:val="000000"/>
            <w:sz w:val="24"/>
          </w:rPr>
          <w:t>904.101(7)</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“District director”</w:t>
      </w:r>
      <w:r>
        <w:rPr>
          <w:rFonts w:ascii="Times New Roman" w:hAnsi="Times New Roman"/>
          <w:b w:val="false"/>
          <w:i w:val="false"/>
          <w:color w:val="000000"/>
          <w:sz w:val="24"/>
        </w:rPr>
        <w:t> </w:t>
      </w:r>
      <w:r>
        <w:rPr>
          <w:rFonts w:ascii="Times New Roman" w:hAnsi="Times New Roman"/>
          <w:b w:val="false"/>
          <w:i w:val="false"/>
          <w:color w:val="000000"/>
          <w:sz w:val="24"/>
        </w:rPr>
        <w:t xml:space="preserve">means the same as defined in Iowa Code section </w:t>
      </w:r>
      <w:hyperlink r:id="rId13">
        <w:r>
          <w:rPr>
            <w:rStyle w:val="Hyperlink"/>
            <w:rFonts w:ascii="Times New Roman" w:hAnsi="Times New Roman"/>
            <w:b w:val="false"/>
            <w:i w:val="false"/>
            <w:color w:val="000000"/>
            <w:sz w:val="24"/>
          </w:rPr>
          <w:t>904.101(8)</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“Deputy director”</w:t>
      </w:r>
      <w:r>
        <w:rPr>
          <w:rFonts w:ascii="Times New Roman" w:hAnsi="Times New Roman"/>
          <w:b w:val="false"/>
          <w:i w:val="false"/>
          <w:color w:val="000000"/>
          <w:sz w:val="24"/>
        </w:rPr>
        <w:t> </w:t>
      </w:r>
      <w:r>
        <w:rPr>
          <w:rFonts w:ascii="Times New Roman" w:hAnsi="Times New Roman"/>
          <w:b w:val="false"/>
          <w:i w:val="false"/>
          <w:color w:val="000000"/>
          <w:sz w:val="24"/>
        </w:rPr>
        <w:t>means the deputy director for community-based corrections of the department.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“Parole”</w:t>
      </w:r>
      <w:r>
        <w:rPr>
          <w:rFonts w:ascii="Times New Roman" w:hAnsi="Times New Roman"/>
          <w:b w:val="false"/>
          <w:i w:val="false"/>
          <w:color w:val="000000"/>
          <w:sz w:val="24"/>
        </w:rPr>
        <w:t> </w:t>
      </w:r>
      <w:r>
        <w:rPr>
          <w:rFonts w:ascii="Times New Roman" w:hAnsi="Times New Roman"/>
          <w:b w:val="false"/>
          <w:i w:val="false"/>
          <w:color w:val="000000"/>
          <w:sz w:val="24"/>
        </w:rPr>
        <w:t xml:space="preserve">means the same as defined in Iowa Code section </w:t>
      </w:r>
      <w:hyperlink r:id="rId14">
        <w:r>
          <w:rPr>
            <w:rStyle w:val="Hyperlink"/>
            <w:rFonts w:ascii="Times New Roman" w:hAnsi="Times New Roman"/>
            <w:b w:val="false"/>
            <w:i w:val="false"/>
            <w:color w:val="000000"/>
            <w:sz w:val="24"/>
          </w:rPr>
          <w:t>906.1</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“Parole agreement”</w:t>
      </w:r>
      <w:r>
        <w:rPr>
          <w:rFonts w:ascii="Times New Roman" w:hAnsi="Times New Roman"/>
          <w:b w:val="false"/>
          <w:i w:val="false"/>
          <w:color w:val="000000"/>
          <w:sz w:val="24"/>
        </w:rPr>
        <w:t> </w:t>
      </w:r>
      <w:r>
        <w:rPr>
          <w:rFonts w:ascii="Times New Roman" w:hAnsi="Times New Roman"/>
          <w:b w:val="false"/>
          <w:i w:val="false"/>
          <w:color w:val="000000"/>
          <w:sz w:val="24"/>
        </w:rPr>
        <w:t xml:space="preserve">means the same as described in Iowa Code section </w:t>
      </w:r>
      <w:hyperlink r:id="rId15">
        <w:r>
          <w:rPr>
            <w:rStyle w:val="Hyperlink"/>
            <w:rFonts w:ascii="Times New Roman" w:hAnsi="Times New Roman"/>
            <w:b w:val="false"/>
            <w:i w:val="false"/>
            <w:color w:val="000000"/>
            <w:sz w:val="24"/>
          </w:rPr>
          <w:t>906.11</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“Parole plan”</w:t>
      </w:r>
      <w:r>
        <w:rPr>
          <w:rFonts w:ascii="Times New Roman" w:hAnsi="Times New Roman"/>
          <w:b w:val="false"/>
          <w:i w:val="false"/>
          <w:color w:val="000000"/>
          <w:sz w:val="24"/>
        </w:rPr>
        <w:t> </w:t>
      </w:r>
      <w:r>
        <w:rPr>
          <w:rFonts w:ascii="Times New Roman" w:hAnsi="Times New Roman"/>
          <w:b w:val="false"/>
          <w:i w:val="false"/>
          <w:color w:val="000000"/>
          <w:sz w:val="24"/>
        </w:rPr>
        <w:t>means a document listing place of employment, residence and the supervising parole officer.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“Presentence investigations”</w:t>
      </w:r>
      <w:r>
        <w:rPr>
          <w:rFonts w:ascii="Times New Roman" w:hAnsi="Times New Roman"/>
          <w:b w:val="false"/>
          <w:i w:val="false"/>
          <w:color w:val="000000"/>
          <w:sz w:val="24"/>
        </w:rPr>
        <w:t> </w:t>
      </w:r>
      <w:r>
        <w:rPr>
          <w:rFonts w:ascii="Times New Roman" w:hAnsi="Times New Roman"/>
          <w:b w:val="false"/>
          <w:i w:val="false"/>
          <w:color w:val="000000"/>
          <w:sz w:val="24"/>
        </w:rPr>
        <w:t xml:space="preserve">means the same as described in Iowa Code sections </w:t>
      </w:r>
      <w:hyperlink r:id="rId16">
        <w:r>
          <w:rPr>
            <w:rStyle w:val="Hyperlink"/>
            <w:rFonts w:ascii="Times New Roman" w:hAnsi="Times New Roman"/>
            <w:b w:val="false"/>
            <w:i w:val="false"/>
            <w:color w:val="000000"/>
            <w:sz w:val="24"/>
          </w:rPr>
          <w:t>901.2</w:t>
        </w:r>
      </w:hyperlink>
      <w:r>
        <w:rPr>
          <w:rFonts w:ascii="Times New Roman" w:hAnsi="Times New Roman"/>
          <w:b w:val="false"/>
          <w:i w:val="false"/>
          <w:color w:val="000000"/>
          <w:sz w:val="24"/>
        </w:rPr>
        <w:t xml:space="preserve"> and </w:t>
      </w:r>
      <w:hyperlink r:id="rId17">
        <w:r>
          <w:rPr>
            <w:rStyle w:val="Hyperlink"/>
            <w:rFonts w:ascii="Times New Roman" w:hAnsi="Times New Roman"/>
            <w:b w:val="false"/>
            <w:i w:val="false"/>
            <w:color w:val="000000"/>
            <w:sz w:val="24"/>
          </w:rPr>
          <w:t>901.3</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“Pretrial release”</w:t>
      </w:r>
      <w:r>
        <w:rPr>
          <w:rFonts w:ascii="Times New Roman" w:hAnsi="Times New Roman"/>
          <w:b w:val="false"/>
          <w:i w:val="false"/>
          <w:color w:val="000000"/>
          <w:sz w:val="24"/>
        </w:rPr>
        <w:t> </w:t>
      </w:r>
      <w:r>
        <w:rPr>
          <w:rFonts w:ascii="Times New Roman" w:hAnsi="Times New Roman"/>
          <w:b w:val="false"/>
          <w:i w:val="false"/>
          <w:color w:val="000000"/>
          <w:sz w:val="24"/>
        </w:rPr>
        <w:t xml:space="preserve">means the same as described in Iowa Code section </w:t>
      </w:r>
      <w:hyperlink r:id="rId18">
        <w:r>
          <w:rPr>
            <w:rStyle w:val="Hyperlink"/>
            <w:rFonts w:ascii="Times New Roman" w:hAnsi="Times New Roman"/>
            <w:b w:val="false"/>
            <w:i w:val="false"/>
            <w:color w:val="000000"/>
            <w:sz w:val="24"/>
          </w:rPr>
          <w:t>811.2</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“Probation”</w:t>
      </w:r>
      <w:r>
        <w:rPr>
          <w:rFonts w:ascii="Times New Roman" w:hAnsi="Times New Roman"/>
          <w:b w:val="false"/>
          <w:i w:val="false"/>
          <w:color w:val="000000"/>
          <w:sz w:val="24"/>
        </w:rPr>
        <w:t> </w:t>
      </w:r>
      <w:r>
        <w:rPr>
          <w:rFonts w:ascii="Times New Roman" w:hAnsi="Times New Roman"/>
          <w:b w:val="false"/>
          <w:i w:val="false"/>
          <w:color w:val="000000"/>
          <w:sz w:val="24"/>
        </w:rPr>
        <w:t xml:space="preserve">means the same as defined in Iowa Code section </w:t>
      </w:r>
      <w:hyperlink r:id="rId19">
        <w:r>
          <w:rPr>
            <w:rStyle w:val="Hyperlink"/>
            <w:rFonts w:ascii="Times New Roman" w:hAnsi="Times New Roman"/>
            <w:b w:val="false"/>
            <w:i w:val="false"/>
            <w:color w:val="000000"/>
            <w:sz w:val="24"/>
          </w:rPr>
          <w:t>907.1</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“Probation agreement”</w:t>
      </w:r>
      <w:r>
        <w:rPr>
          <w:rFonts w:ascii="Times New Roman" w:hAnsi="Times New Roman"/>
          <w:b w:val="false"/>
          <w:i w:val="false"/>
          <w:color w:val="000000"/>
          <w:sz w:val="24"/>
        </w:rPr>
        <w:t> </w:t>
      </w:r>
      <w:r>
        <w:rPr>
          <w:rFonts w:ascii="Times New Roman" w:hAnsi="Times New Roman"/>
          <w:b w:val="false"/>
          <w:i w:val="false"/>
          <w:color w:val="000000"/>
          <w:sz w:val="24"/>
        </w:rPr>
        <w:t xml:space="preserve">means the same as described in Iowa Code section </w:t>
      </w:r>
      <w:hyperlink r:id="rId20">
        <w:r>
          <w:rPr>
            <w:rStyle w:val="Hyperlink"/>
            <w:rFonts w:ascii="Times New Roman" w:hAnsi="Times New Roman"/>
            <w:b w:val="false"/>
            <w:i w:val="false"/>
            <w:color w:val="000000"/>
            <w:sz w:val="24"/>
          </w:rPr>
          <w:t>907.6</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“Probation service”</w:t>
      </w:r>
      <w:r>
        <w:rPr>
          <w:rFonts w:ascii="Times New Roman" w:hAnsi="Times New Roman"/>
          <w:b w:val="false"/>
          <w:i w:val="false"/>
          <w:color w:val="000000"/>
          <w:sz w:val="24"/>
        </w:rPr>
        <w:t> </w:t>
      </w:r>
      <w:r>
        <w:rPr>
          <w:rFonts w:ascii="Times New Roman" w:hAnsi="Times New Roman"/>
          <w:b w:val="false"/>
          <w:i w:val="false"/>
          <w:color w:val="000000"/>
          <w:sz w:val="24"/>
        </w:rPr>
        <w:t xml:space="preserve">means the same as described in Iowa Code section </w:t>
      </w:r>
      <w:hyperlink r:id="rId21">
        <w:r>
          <w:rPr>
            <w:rStyle w:val="Hyperlink"/>
            <w:rFonts w:ascii="Times New Roman" w:hAnsi="Times New Roman"/>
            <w:b w:val="false"/>
            <w:i w:val="false"/>
            <w:color w:val="000000"/>
            <w:sz w:val="24"/>
          </w:rPr>
          <w:t>907.2</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“Restitution plan of payment”</w:t>
      </w:r>
      <w:r>
        <w:rPr>
          <w:rFonts w:ascii="Times New Roman" w:hAnsi="Times New Roman"/>
          <w:b w:val="false"/>
          <w:i w:val="false"/>
          <w:color w:val="000000"/>
          <w:sz w:val="24"/>
        </w:rPr>
        <w:t> </w:t>
      </w:r>
      <w:r>
        <w:rPr>
          <w:rFonts w:ascii="Times New Roman" w:hAnsi="Times New Roman"/>
          <w:b w:val="false"/>
          <w:i w:val="false"/>
          <w:color w:val="000000"/>
          <w:sz w:val="24"/>
        </w:rPr>
        <w:t xml:space="preserve">means the same as defined in Iowa Code section </w:t>
      </w:r>
      <w:hyperlink r:id="rId22">
        <w:r>
          <w:rPr>
            <w:rStyle w:val="Hyperlink"/>
            <w:rFonts w:ascii="Times New Roman" w:hAnsi="Times New Roman"/>
            <w:b w:val="false"/>
            <w:i w:val="false"/>
            <w:color w:val="000000"/>
            <w:sz w:val="24"/>
          </w:rPr>
          <w:t>910.1(8)</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“Supervision”</w:t>
      </w:r>
      <w:r>
        <w:rPr>
          <w:rFonts w:ascii="Times New Roman" w:hAnsi="Times New Roman"/>
          <w:b w:val="false"/>
          <w:i w:val="false"/>
          <w:color w:val="000000"/>
          <w:sz w:val="24"/>
        </w:rPr>
        <w:t> </w:t>
      </w:r>
      <w:r>
        <w:rPr>
          <w:rFonts w:ascii="Times New Roman" w:hAnsi="Times New Roman"/>
          <w:b w:val="false"/>
          <w:i w:val="false"/>
          <w:color w:val="000000"/>
          <w:sz w:val="24"/>
        </w:rPr>
        <w:t xml:space="preserve">means supervision during the probationary period as described in Iowa Code section </w:t>
      </w:r>
      <w:hyperlink r:id="rId23">
        <w:r>
          <w:rPr>
            <w:rStyle w:val="Hyperlink"/>
            <w:rFonts w:ascii="Times New Roman" w:hAnsi="Times New Roman"/>
            <w:b w:val="false"/>
            <w:i w:val="false"/>
            <w:color w:val="000000"/>
            <w:sz w:val="24"/>
          </w:rPr>
          <w:t>907.8</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xml:space="preserve">This rule is intended to implement Iowa Code section </w:t>
      </w:r>
      <w:hyperlink r:id="rId24">
        <w:r>
          <w:rPr>
            <w:rStyle w:val="Hyperlink"/>
            <w:rFonts w:ascii="Times New Roman" w:hAnsi="Times New Roman"/>
            <w:b w:val="false"/>
            <w:i w:val="false"/>
            <w:color w:val="000000"/>
            <w:sz w:val="24"/>
          </w:rPr>
          <w:t>904.108(1)</w:t>
        </w:r>
      </w:hyperlink>
      <w:r>
        <w:rPr>
          <w:rFonts w:ascii="Times New Roman" w:hAnsi="Times New Roman"/>
          <w:b w:val="false"/>
          <w:i/>
          <w:color w:val="000000"/>
          <w:sz w:val="24"/>
        </w:rPr>
        <w:t>“l.”</w:t>
      </w:r>
    </w:p>
    <w:p>
      <w:pPr>
        <w:spacing w:before="0" w:after="0" w:line="480"/>
        <w:ind w:left="120"/>
        <w:jc w:val="both"/>
      </w:pPr>
      <w:r>
        <w:rPr>
          <w:rFonts w:ascii="Times New Roman" w:hAnsi="Times New Roman"/>
          <w:b/>
          <w:i w:val="false"/>
          <w:color w:val="000000"/>
          <w:sz w:val="24"/>
        </w:rPr>
        <w:t>201—40.2</w:t>
      </w:r>
      <w:r>
        <w:rPr>
          <w:rFonts w:ascii="Times New Roman" w:hAnsi="Times New Roman"/>
          <w:b/>
          <w:i w:val="false"/>
          <w:color w:val="000000"/>
          <w:sz w:val="24"/>
        </w:rPr>
        <w:t xml:space="preserve">(904) </w:t>
      </w:r>
      <w:r>
        <w:rPr>
          <w:rFonts w:ascii="Times New Roman" w:hAnsi="Times New Roman"/>
          <w:b/>
          <w:i w:val="false"/>
          <w:color w:val="000000"/>
          <w:sz w:val="24"/>
        </w:rPr>
        <w:t xml:space="preserve">Grievance procedures.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40.2(1)</w:t>
      </w:r>
      <w:r>
        <w:rPr>
          <w:rFonts w:ascii="Times New Roman" w:hAnsi="Times New Roman"/>
          <w:b w:val="false"/>
          <w:i w:val="false"/>
          <w:color w:val="000000"/>
          <w:sz w:val="24"/>
        </w:rPr>
        <w:t> </w:t>
      </w:r>
      <w:r>
        <w:rPr>
          <w:rFonts w:ascii="Times New Roman" w:hAnsi="Times New Roman"/>
          <w:b w:val="false"/>
          <w:i w:val="false"/>
          <w:color w:val="000000"/>
          <w:sz w:val="24"/>
        </w:rPr>
        <w:t>The department will maintain policies and procedures establishing a grievance process applicable to all persons under supervision.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40.2(2)</w:t>
      </w:r>
      <w:r>
        <w:rPr>
          <w:rFonts w:ascii="Times New Roman" w:hAnsi="Times New Roman"/>
          <w:b w:val="false"/>
          <w:i w:val="false"/>
          <w:color w:val="000000"/>
          <w:sz w:val="24"/>
        </w:rPr>
        <w:t> </w:t>
      </w:r>
      <w:r>
        <w:rPr>
          <w:rFonts w:ascii="Times New Roman" w:hAnsi="Times New Roman"/>
          <w:b w:val="false"/>
          <w:i w:val="false"/>
          <w:color w:val="000000"/>
          <w:sz w:val="24"/>
        </w:rPr>
        <w:t>Persons under supervision will be provided notice of the grievance process in accordance with department policy.</w:t>
      </w:r>
    </w:p>
    <w:p>
      <w:pPr>
        <w:spacing w:before="0" w:after="0" w:line="480"/>
        <w:ind w:left="120"/>
        <w:jc w:val="both"/>
      </w:pPr>
      <w:r>
        <w:rPr>
          <w:rFonts w:ascii="Times New Roman" w:hAnsi="Times New Roman"/>
          <w:b w:val="false"/>
          <w:i w:val="false"/>
          <w:color w:val="000000"/>
          <w:sz w:val="24"/>
        </w:rPr>
        <w:t xml:space="preserve">This rule is intended to implement Iowa Code section </w:t>
      </w:r>
      <w:hyperlink r:id="rId25">
        <w:r>
          <w:rPr>
            <w:rStyle w:val="Hyperlink"/>
            <w:rFonts w:ascii="Times New Roman" w:hAnsi="Times New Roman"/>
            <w:b w:val="false"/>
            <w:i w:val="false"/>
            <w:color w:val="000000"/>
            <w:sz w:val="24"/>
          </w:rPr>
          <w:t>904.108(1)</w:t>
        </w:r>
      </w:hyperlink>
      <w:r>
        <w:rPr>
          <w:rFonts w:ascii="Times New Roman" w:hAnsi="Times New Roman"/>
          <w:b w:val="false"/>
          <w:i/>
          <w:color w:val="000000"/>
          <w:sz w:val="24"/>
        </w:rPr>
        <w:t>“l.”</w:t>
      </w:r>
    </w:p>
    <w:p>
      <w:pPr>
        <w:spacing w:before="0" w:after="0" w:line="480"/>
        <w:ind w:left="120"/>
        <w:jc w:val="both"/>
      </w:pPr>
      <w:r>
        <w:rPr>
          <w:rFonts w:ascii="Times New Roman" w:hAnsi="Times New Roman"/>
          <w:b/>
          <w:i w:val="false"/>
          <w:color w:val="000000"/>
          <w:sz w:val="24"/>
        </w:rPr>
        <w:t>201—40.3</w:t>
      </w:r>
      <w:r>
        <w:rPr>
          <w:rFonts w:ascii="Times New Roman" w:hAnsi="Times New Roman"/>
          <w:b/>
          <w:i w:val="false"/>
          <w:color w:val="000000"/>
          <w:sz w:val="24"/>
        </w:rPr>
        <w:t xml:space="preserve">(904) </w:t>
      </w:r>
      <w:r>
        <w:rPr>
          <w:rFonts w:ascii="Times New Roman" w:hAnsi="Times New Roman"/>
          <w:b/>
          <w:i w:val="false"/>
          <w:color w:val="000000"/>
          <w:sz w:val="24"/>
        </w:rPr>
        <w:t xml:space="preserve">Electronic case records. </w:t>
      </w:r>
      <w:r>
        <w:rPr>
          <w:rFonts w:ascii="Times New Roman" w:hAnsi="Times New Roman"/>
          <w:b w:val="false"/>
          <w:i w:val="false"/>
          <w:color w:val="000000"/>
          <w:sz w:val="24"/>
        </w:rPr>
        <w:t>The department will maintain an electronic case record for all persons under supervision.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40.3(1)</w:t>
      </w:r>
      <w:r>
        <w:rPr>
          <w:rFonts w:ascii="Times New Roman" w:hAnsi="Times New Roman"/>
          <w:b w:val="false"/>
          <w:i w:val="false"/>
          <w:color w:val="000000"/>
          <w:sz w:val="24"/>
        </w:rPr>
        <w:t> </w:t>
      </w:r>
      <w:r>
        <w:rPr>
          <w:rFonts w:ascii="Times New Roman" w:hAnsi="Times New Roman"/>
          <w:b w:val="false"/>
          <w:i w:val="false"/>
          <w:color w:val="000000"/>
          <w:sz w:val="24"/>
        </w:rPr>
        <w:t>The contents of electronic case records will be maintained in accordance with department policy and may include identification data, institutional information, case plans, restitution plans, supervision or release plans, generic notes, disciplinary reports, transfer reports, progress reports, releases of information, and discharge records, as applicable.</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40.3(2)</w:t>
      </w:r>
      <w:r>
        <w:rPr>
          <w:rFonts w:ascii="Times New Roman" w:hAnsi="Times New Roman"/>
          <w:b w:val="false"/>
          <w:i w:val="false"/>
          <w:color w:val="000000"/>
          <w:sz w:val="24"/>
        </w:rPr>
        <w:t> </w:t>
      </w:r>
      <w:r>
        <w:rPr>
          <w:rFonts w:ascii="Times New Roman" w:hAnsi="Times New Roman"/>
          <w:b w:val="false"/>
          <w:i w:val="false"/>
          <w:color w:val="000000"/>
          <w:sz w:val="24"/>
        </w:rPr>
        <w:t>Written procedures will govern the security, maintenance, accessibility, closure, and destruction of electronic case records in accordance with department policy.</w:t>
      </w:r>
    </w:p>
    <w:p>
      <w:pPr>
        <w:spacing w:before="0" w:after="0" w:line="480"/>
        <w:ind w:left="120"/>
        <w:jc w:val="both"/>
      </w:pPr>
      <w:r>
        <w:rPr>
          <w:rFonts w:ascii="Times New Roman" w:hAnsi="Times New Roman"/>
          <w:b w:val="false"/>
          <w:i w:val="false"/>
          <w:color w:val="000000"/>
          <w:sz w:val="24"/>
        </w:rPr>
        <w:t xml:space="preserve">This rule is intended to implement Iowa Code section </w:t>
      </w:r>
      <w:hyperlink r:id="rId26">
        <w:r>
          <w:rPr>
            <w:rStyle w:val="Hyperlink"/>
            <w:rFonts w:ascii="Times New Roman" w:hAnsi="Times New Roman"/>
            <w:b w:val="false"/>
            <w:i w:val="false"/>
            <w:color w:val="000000"/>
            <w:sz w:val="24"/>
          </w:rPr>
          <w:t>904.108(1)</w:t>
        </w:r>
      </w:hyperlink>
      <w:r>
        <w:rPr>
          <w:rFonts w:ascii="Times New Roman" w:hAnsi="Times New Roman"/>
          <w:b w:val="false"/>
          <w:i/>
          <w:color w:val="000000"/>
          <w:sz w:val="24"/>
        </w:rPr>
        <w:t>“l.”</w:t>
      </w:r>
    </w:p>
    <w:p>
      <w:pPr>
        <w:spacing w:before="0" w:after="0" w:line="480"/>
        <w:ind w:left="120"/>
        <w:jc w:val="both"/>
      </w:pPr>
      <w:r>
        <w:rPr>
          <w:rFonts w:ascii="Times New Roman" w:hAnsi="Times New Roman"/>
          <w:b/>
          <w:i w:val="false"/>
          <w:color w:val="000000"/>
          <w:sz w:val="24"/>
        </w:rPr>
        <w:t>201—40.4</w:t>
      </w:r>
      <w:r>
        <w:rPr>
          <w:rFonts w:ascii="Times New Roman" w:hAnsi="Times New Roman"/>
          <w:b/>
          <w:i w:val="false"/>
          <w:color w:val="000000"/>
          <w:sz w:val="24"/>
        </w:rPr>
        <w:t xml:space="preserve">(904) </w:t>
      </w:r>
      <w:r>
        <w:rPr>
          <w:rFonts w:ascii="Times New Roman" w:hAnsi="Times New Roman"/>
          <w:b/>
          <w:i w:val="false"/>
          <w:color w:val="000000"/>
          <w:sz w:val="24"/>
        </w:rPr>
        <w:t xml:space="preserve">Case management system and risk/needs assessment. </w:t>
      </w:r>
      <w:r>
        <w:rPr>
          <w:rFonts w:ascii="Times New Roman" w:hAnsi="Times New Roman"/>
          <w:b w:val="false"/>
          <w:i w:val="false"/>
          <w:color w:val="000000"/>
          <w:sz w:val="24"/>
        </w:rPr>
        <w:t>The department will utilize the statewide approved case management system and a statewide validated risk/needs assessment instrument for persons under supervision when required by statute or department policy.</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40.4(1)</w:t>
      </w:r>
      <w:r>
        <w:rPr>
          <w:rFonts w:ascii="Times New Roman" w:hAnsi="Times New Roman"/>
          <w:b w:val="false"/>
          <w:i w:val="false"/>
          <w:color w:val="000000"/>
          <w:sz w:val="24"/>
        </w:rPr>
        <w:t> </w:t>
      </w:r>
      <w:r>
        <w:rPr>
          <w:rFonts w:ascii="Times New Roman" w:hAnsi="Times New Roman"/>
          <w:b w:val="false"/>
          <w:i w:val="false"/>
          <w:color w:val="000000"/>
          <w:sz w:val="24"/>
        </w:rPr>
        <w:t>Risk and needs information will be used to inform supervision and case planning consistent with the risk-need-responsivity model and core correctional practices.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40.4(2)</w:t>
      </w:r>
      <w:r>
        <w:rPr>
          <w:rFonts w:ascii="Times New Roman" w:hAnsi="Times New Roman"/>
          <w:b w:val="false"/>
          <w:i w:val="false"/>
          <w:color w:val="000000"/>
          <w:sz w:val="24"/>
        </w:rPr>
        <w:t> </w:t>
      </w:r>
      <w:r>
        <w:rPr>
          <w:rFonts w:ascii="Times New Roman" w:hAnsi="Times New Roman"/>
          <w:b w:val="false"/>
          <w:i w:val="false"/>
          <w:color w:val="000000"/>
          <w:sz w:val="24"/>
        </w:rPr>
        <w:t>Resources will be prioritized for clients who pose a greater risk to reoffend.</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40.4(3)</w:t>
      </w:r>
      <w:r>
        <w:rPr>
          <w:rFonts w:ascii="Times New Roman" w:hAnsi="Times New Roman"/>
          <w:b w:val="false"/>
          <w:i w:val="false"/>
          <w:color w:val="000000"/>
          <w:sz w:val="24"/>
        </w:rPr>
        <w:t> </w:t>
      </w:r>
      <w:r>
        <w:rPr>
          <w:rFonts w:ascii="Times New Roman" w:hAnsi="Times New Roman"/>
          <w:b w:val="false"/>
          <w:i w:val="false"/>
          <w:color w:val="000000"/>
          <w:sz w:val="24"/>
        </w:rPr>
        <w:t>Moderate-risk and high-risk clients will receive evidence-based case planning and case management in accordance with department policy.</w:t>
      </w:r>
    </w:p>
    <w:p>
      <w:pPr>
        <w:spacing w:before="0" w:after="0" w:line="480"/>
        <w:ind w:left="120"/>
        <w:jc w:val="both"/>
      </w:pPr>
      <w:r>
        <w:rPr>
          <w:rFonts w:ascii="Times New Roman" w:hAnsi="Times New Roman"/>
          <w:b w:val="false"/>
          <w:i w:val="false"/>
          <w:color w:val="000000"/>
          <w:sz w:val="24"/>
        </w:rPr>
        <w:t xml:space="preserve">This rule is intended to implement Iowa Code section </w:t>
      </w:r>
      <w:hyperlink r:id="rId27">
        <w:r>
          <w:rPr>
            <w:rStyle w:val="Hyperlink"/>
            <w:rFonts w:ascii="Times New Roman" w:hAnsi="Times New Roman"/>
            <w:b w:val="false"/>
            <w:i w:val="false"/>
            <w:color w:val="000000"/>
            <w:sz w:val="24"/>
          </w:rPr>
          <w:t>904.108(1)</w:t>
        </w:r>
      </w:hyperlink>
      <w:r>
        <w:rPr>
          <w:rFonts w:ascii="Times New Roman" w:hAnsi="Times New Roman"/>
          <w:b w:val="false"/>
          <w:i/>
          <w:color w:val="000000"/>
          <w:sz w:val="24"/>
        </w:rPr>
        <w:t>“l.”</w:t>
      </w:r>
    </w:p>
    <w:p>
      <w:pPr>
        <w:spacing w:before="0" w:after="0" w:line="480"/>
        <w:ind w:left="120"/>
        <w:jc w:val="both"/>
      </w:pPr>
      <w:r>
        <w:rPr>
          <w:rFonts w:ascii="Times New Roman" w:hAnsi="Times New Roman"/>
          <w:b/>
          <w:i w:val="false"/>
          <w:color w:val="000000"/>
          <w:sz w:val="24"/>
        </w:rPr>
        <w:t>201—40.5</w:t>
      </w:r>
      <w:r>
        <w:rPr>
          <w:rFonts w:ascii="Times New Roman" w:hAnsi="Times New Roman"/>
          <w:b/>
          <w:i w:val="false"/>
          <w:color w:val="000000"/>
          <w:sz w:val="24"/>
        </w:rPr>
        <w:t xml:space="preserve">(904,907,910) </w:t>
      </w:r>
      <w:r>
        <w:rPr>
          <w:rFonts w:ascii="Times New Roman" w:hAnsi="Times New Roman"/>
          <w:b/>
          <w:i w:val="false"/>
          <w:color w:val="000000"/>
          <w:sz w:val="24"/>
        </w:rPr>
        <w:t xml:space="preserve">Restitution. </w:t>
      </w:r>
      <w:r>
        <w:rPr>
          <w:rFonts w:ascii="Times New Roman" w:hAnsi="Times New Roman"/>
          <w:b w:val="false"/>
          <w:i w:val="false"/>
          <w:color w:val="000000"/>
          <w:sz w:val="24"/>
        </w:rPr>
        <w:t>Unless otherwise provided by statute or rule, this rule applies to persons under supervision of the district department.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40.5(1)</w:t>
      </w:r>
      <w:r>
        <w:rPr>
          <w:rFonts w:ascii="Times New Roman" w:hAnsi="Times New Roman"/>
          <w:b w:val="false"/>
          <w:i w:val="false"/>
          <w:color w:val="000000"/>
          <w:sz w:val="24"/>
        </w:rPr>
        <w:t> </w:t>
      </w:r>
      <w:r>
        <w:rPr>
          <w:rFonts w:ascii="Times New Roman" w:hAnsi="Times New Roman"/>
          <w:b w:val="false"/>
          <w:i/>
          <w:color w:val="000000"/>
          <w:sz w:val="24"/>
        </w:rPr>
        <w:t xml:space="preserve">Restitution plan of payment. </w:t>
      </w:r>
      <w:r>
        <w:rPr>
          <w:rFonts w:ascii="Times New Roman" w:hAnsi="Times New Roman"/>
          <w:b w:val="false"/>
          <w:i w:val="false"/>
          <w:color w:val="000000"/>
          <w:sz w:val="24"/>
        </w:rPr>
        <w:t xml:space="preserve">When restitution is ordered by the court, the department will ensure that a restitution plan of payment is prepared, submitted, reviewed, and modified in accordance with Iowa Code chapter </w:t>
      </w:r>
      <w:hyperlink r:id="rId28">
        <w:r>
          <w:rPr>
            <w:rStyle w:val="Hyperlink"/>
            <w:rFonts w:ascii="Times New Roman" w:hAnsi="Times New Roman"/>
            <w:b w:val="false"/>
            <w:i w:val="false"/>
            <w:color w:val="000000"/>
            <w:sz w:val="24"/>
          </w:rPr>
          <w:t>910</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A restitution plan of payment will be developed for any client under supervision who is court ordered to pay restitution unless the court-ordered restitution plan has been completed.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 xml:space="preserve">Factors that must be considered in developing the restitution plan of payment are outlined in Iowa Code section </w:t>
      </w:r>
      <w:hyperlink r:id="rId29">
        <w:r>
          <w:rPr>
            <w:rStyle w:val="Hyperlink"/>
            <w:rFonts w:ascii="Times New Roman" w:hAnsi="Times New Roman"/>
            <w:b w:val="false"/>
            <w:i w:val="false"/>
            <w:color w:val="000000"/>
            <w:sz w:val="24"/>
          </w:rPr>
          <w:t>910.5(2)</w:t>
        </w:r>
      </w:hyperlink>
      <w:r>
        <w:rPr>
          <w:rFonts w:ascii="Times New Roman" w:hAnsi="Times New Roman"/>
          <w:b w:val="false"/>
          <w:i/>
          <w:color w:val="000000"/>
          <w:sz w:val="24"/>
        </w:rPr>
        <w:t>“a”</w:t>
      </w:r>
      <w:r>
        <w:rPr>
          <w:rFonts w:ascii="Times New Roman" w:hAnsi="Times New Roman"/>
          <w:b w:val="false"/>
          <w:i w:val="false"/>
          <w:color w:val="000000"/>
          <w:sz w:val="24"/>
        </w:rPr>
        <w:t>(1).</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 xml:space="preserve">A copy of the restitution plan will be given to the client in accordance with Iowa Code section </w:t>
      </w:r>
      <w:hyperlink r:id="rId30">
        <w:r>
          <w:rPr>
            <w:rStyle w:val="Hyperlink"/>
            <w:rFonts w:ascii="Times New Roman" w:hAnsi="Times New Roman"/>
            <w:b w:val="false"/>
            <w:i w:val="false"/>
            <w:color w:val="000000"/>
            <w:sz w:val="24"/>
          </w:rPr>
          <w:t>907.8(1)</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The department will maintain policies and procedures governing the development and modification of restitution plans of payment.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w:t>
      </w:r>
      <w:r>
        <w:rPr>
          <w:rFonts w:ascii="Times New Roman" w:hAnsi="Times New Roman"/>
          <w:b w:val="false"/>
          <w:i w:val="false"/>
          <w:color w:val="000000"/>
          <w:sz w:val="24"/>
        </w:rPr>
        <w:t>  </w:t>
      </w:r>
      <w:r>
        <w:rPr>
          <w:rFonts w:ascii="Times New Roman" w:hAnsi="Times New Roman"/>
          <w:b w:val="false"/>
          <w:i w:val="false"/>
          <w:color w:val="000000"/>
          <w:sz w:val="24"/>
        </w:rPr>
        <w:t>The approved restitution plan of payment will be forwarded to the appropriate clerk of court by the district department or to the person responsible for collection if collections are performed by the district department.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40.5(2)</w:t>
      </w:r>
      <w:r>
        <w:rPr>
          <w:rFonts w:ascii="Times New Roman" w:hAnsi="Times New Roman"/>
          <w:b w:val="false"/>
          <w:i w:val="false"/>
          <w:color w:val="000000"/>
          <w:sz w:val="24"/>
        </w:rPr>
        <w:t> </w:t>
      </w:r>
      <w:r>
        <w:rPr>
          <w:rFonts w:ascii="Times New Roman" w:hAnsi="Times New Roman"/>
          <w:b w:val="false"/>
          <w:i/>
          <w:color w:val="000000"/>
          <w:sz w:val="24"/>
        </w:rPr>
        <w:t xml:space="preserve">Restitution compliance. </w:t>
      </w:r>
      <w:r>
        <w:rPr>
          <w:rFonts w:ascii="Times New Roman" w:hAnsi="Times New Roman"/>
          <w:b w:val="false"/>
          <w:i w:val="false"/>
          <w:color w:val="000000"/>
          <w:sz w:val="24"/>
        </w:rPr>
        <w:t>Persons under supervision will comply with the terms of the restitution plan of payment.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Payments shall be submitted in a timely manner to the clerk of court or to the department, as applicable.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If payments are made to the clerk of court, the client must provide proof of payment to the department.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When community service is ordered in lieu of financial restitution, the department will provide statements to the appropriate clerk of court in accordance with department policy.</w:t>
      </w:r>
    </w:p>
    <w:p>
      <w:pPr>
        <w:spacing w:before="0" w:after="0" w:line="480"/>
        <w:ind w:left="120"/>
        <w:jc w:val="both"/>
      </w:pPr>
      <w:r>
        <w:rPr>
          <w:rFonts w:ascii="Times New Roman" w:hAnsi="Times New Roman"/>
          <w:b w:val="false"/>
          <w:i w:val="false"/>
          <w:color w:val="000000"/>
          <w:sz w:val="24"/>
        </w:rPr>
        <w:t xml:space="preserve">This rule is intended to implement Iowa Code sections </w:t>
      </w:r>
      <w:hyperlink r:id="rId31">
        <w:r>
          <w:rPr>
            <w:rStyle w:val="Hyperlink"/>
            <w:rFonts w:ascii="Times New Roman" w:hAnsi="Times New Roman"/>
            <w:b w:val="false"/>
            <w:i w:val="false"/>
            <w:color w:val="000000"/>
            <w:sz w:val="24"/>
          </w:rPr>
          <w:t>907.8</w:t>
        </w:r>
      </w:hyperlink>
      <w:r>
        <w:rPr>
          <w:rFonts w:ascii="Times New Roman" w:hAnsi="Times New Roman"/>
          <w:b w:val="false"/>
          <w:i w:val="false"/>
          <w:color w:val="000000"/>
          <w:sz w:val="24"/>
        </w:rPr>
        <w:t xml:space="preserve"> and </w:t>
      </w:r>
      <w:hyperlink r:id="rId32">
        <w:r>
          <w:rPr>
            <w:rStyle w:val="Hyperlink"/>
            <w:rFonts w:ascii="Times New Roman" w:hAnsi="Times New Roman"/>
            <w:b w:val="false"/>
            <w:i w:val="false"/>
            <w:color w:val="000000"/>
            <w:sz w:val="24"/>
          </w:rPr>
          <w:t>910.5</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i w:val="false"/>
          <w:color w:val="000000"/>
          <w:sz w:val="24"/>
        </w:rPr>
        <w:t>201—40.6</w:t>
      </w:r>
      <w:r>
        <w:rPr>
          <w:rFonts w:ascii="Times New Roman" w:hAnsi="Times New Roman"/>
          <w:b/>
          <w:i w:val="false"/>
          <w:color w:val="000000"/>
          <w:sz w:val="24"/>
        </w:rPr>
        <w:t xml:space="preserve">(904,906) </w:t>
      </w:r>
      <w:r>
        <w:rPr>
          <w:rFonts w:ascii="Times New Roman" w:hAnsi="Times New Roman"/>
          <w:b/>
          <w:i w:val="false"/>
          <w:color w:val="000000"/>
          <w:sz w:val="24"/>
        </w:rPr>
        <w:t xml:space="preserve">Transportation reimbursement.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40.6(1)</w:t>
      </w:r>
      <w:r>
        <w:rPr>
          <w:rFonts w:ascii="Times New Roman" w:hAnsi="Times New Roman"/>
          <w:b w:val="false"/>
          <w:i w:val="false"/>
          <w:color w:val="000000"/>
          <w:sz w:val="24"/>
        </w:rPr>
        <w:t> </w:t>
      </w:r>
      <w:r>
        <w:rPr>
          <w:rFonts w:ascii="Times New Roman" w:hAnsi="Times New Roman"/>
          <w:b w:val="false"/>
          <w:i w:val="false"/>
          <w:color w:val="000000"/>
          <w:sz w:val="24"/>
        </w:rPr>
        <w:t xml:space="preserve">In accordance with Iowa Code sections </w:t>
      </w:r>
      <w:hyperlink r:id="rId33">
        <w:r>
          <w:rPr>
            <w:rStyle w:val="Hyperlink"/>
            <w:rFonts w:ascii="Times New Roman" w:hAnsi="Times New Roman"/>
            <w:b w:val="false"/>
            <w:i w:val="false"/>
            <w:color w:val="000000"/>
            <w:sz w:val="24"/>
          </w:rPr>
          <w:t>904.909</w:t>
        </w:r>
      </w:hyperlink>
      <w:r>
        <w:rPr>
          <w:rFonts w:ascii="Times New Roman" w:hAnsi="Times New Roman"/>
          <w:b w:val="false"/>
          <w:i w:val="false"/>
          <w:color w:val="000000"/>
          <w:sz w:val="24"/>
        </w:rPr>
        <w:t xml:space="preserve"> and </w:t>
      </w:r>
      <w:hyperlink r:id="rId34">
        <w:r>
          <w:rPr>
            <w:rStyle w:val="Hyperlink"/>
            <w:rFonts w:ascii="Times New Roman" w:hAnsi="Times New Roman"/>
            <w:b w:val="false"/>
            <w:i w:val="false"/>
            <w:color w:val="000000"/>
            <w:sz w:val="24"/>
          </w:rPr>
          <w:t>906.18</w:t>
        </w:r>
      </w:hyperlink>
      <w:r>
        <w:rPr>
          <w:rFonts w:ascii="Times New Roman" w:hAnsi="Times New Roman"/>
          <w:b w:val="false"/>
          <w:i w:val="false"/>
          <w:color w:val="000000"/>
          <w:sz w:val="24"/>
        </w:rPr>
        <w:t>, a client under supervision who escapes, absconds, or otherwise violates conditions requiring return to custody must reimburse the department for the actual cost incurred by the department.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40.6(2)</w:t>
      </w:r>
      <w:r>
        <w:rPr>
          <w:rFonts w:ascii="Times New Roman" w:hAnsi="Times New Roman"/>
          <w:b w:val="false"/>
          <w:i w:val="false"/>
          <w:color w:val="000000"/>
          <w:sz w:val="24"/>
        </w:rPr>
        <w:t> </w:t>
      </w:r>
      <w:r>
        <w:rPr>
          <w:rFonts w:ascii="Times New Roman" w:hAnsi="Times New Roman"/>
          <w:b w:val="false"/>
          <w:i w:val="false"/>
          <w:color w:val="000000"/>
          <w:sz w:val="24"/>
        </w:rPr>
        <w:t>Actual cost means the following: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Actual salary, to include overtime, of all personnel involved;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Actual personal expenses of personnel involved;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Ground mileage at the rate paid to state employees;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Actual cost of any common carrier fee for personnel and the client. Airfare will be booked at regular coach; and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w:t>
      </w:r>
      <w:r>
        <w:rPr>
          <w:rFonts w:ascii="Times New Roman" w:hAnsi="Times New Roman"/>
          <w:b w:val="false"/>
          <w:i w:val="false"/>
          <w:color w:val="000000"/>
          <w:sz w:val="24"/>
        </w:rPr>
        <w:t>  </w:t>
      </w:r>
      <w:r>
        <w:rPr>
          <w:rFonts w:ascii="Times New Roman" w:hAnsi="Times New Roman"/>
          <w:b w:val="false"/>
          <w:i w:val="false"/>
          <w:color w:val="000000"/>
          <w:sz w:val="24"/>
        </w:rPr>
        <w:t>Actual costs of contract services.</w:t>
      </w:r>
    </w:p>
    <w:p>
      <w:pPr>
        <w:spacing w:before="0" w:after="0" w:line="480"/>
        <w:ind w:left="120"/>
        <w:jc w:val="both"/>
      </w:pPr>
      <w:r>
        <w:rPr>
          <w:rFonts w:ascii="Times New Roman" w:hAnsi="Times New Roman"/>
          <w:b w:val="false"/>
          <w:i w:val="false"/>
          <w:color w:val="000000"/>
          <w:sz w:val="24"/>
        </w:rPr>
        <w:t xml:space="preserve">This rule is intended to implement Iowa Code sections </w:t>
      </w:r>
      <w:hyperlink r:id="rId35">
        <w:r>
          <w:rPr>
            <w:rStyle w:val="Hyperlink"/>
            <w:rFonts w:ascii="Times New Roman" w:hAnsi="Times New Roman"/>
            <w:b w:val="false"/>
            <w:i w:val="false"/>
            <w:color w:val="000000"/>
            <w:sz w:val="24"/>
          </w:rPr>
          <w:t>904.909</w:t>
        </w:r>
      </w:hyperlink>
      <w:r>
        <w:rPr>
          <w:rFonts w:ascii="Times New Roman" w:hAnsi="Times New Roman"/>
          <w:b w:val="false"/>
          <w:i w:val="false"/>
          <w:color w:val="000000"/>
          <w:sz w:val="24"/>
        </w:rPr>
        <w:t xml:space="preserve"> and </w:t>
      </w:r>
      <w:hyperlink r:id="rId36">
        <w:r>
          <w:rPr>
            <w:rStyle w:val="Hyperlink"/>
            <w:rFonts w:ascii="Times New Roman" w:hAnsi="Times New Roman"/>
            <w:b w:val="false"/>
            <w:i w:val="false"/>
            <w:color w:val="000000"/>
            <w:sz w:val="24"/>
          </w:rPr>
          <w:t>906.18</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i w:val="false"/>
          <w:color w:val="000000"/>
          <w:sz w:val="24"/>
        </w:rPr>
        <w:t>201—40.7</w:t>
      </w:r>
      <w:r>
        <w:rPr>
          <w:rFonts w:ascii="Times New Roman" w:hAnsi="Times New Roman"/>
          <w:b/>
          <w:i w:val="false"/>
          <w:color w:val="000000"/>
          <w:sz w:val="24"/>
        </w:rPr>
        <w:t xml:space="preserve">(904) </w:t>
      </w:r>
      <w:r>
        <w:rPr>
          <w:rFonts w:ascii="Times New Roman" w:hAnsi="Times New Roman"/>
          <w:b/>
          <w:i w:val="false"/>
          <w:color w:val="000000"/>
          <w:sz w:val="24"/>
        </w:rPr>
        <w:t xml:space="preserve">Authorization to carry firearms.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40.7(1)</w:t>
      </w:r>
      <w:r>
        <w:rPr>
          <w:rFonts w:ascii="Times New Roman" w:hAnsi="Times New Roman"/>
          <w:b w:val="false"/>
          <w:i w:val="false"/>
          <w:color w:val="000000"/>
          <w:sz w:val="24"/>
        </w:rPr>
        <w:t> </w:t>
      </w:r>
      <w:r>
        <w:rPr>
          <w:rFonts w:ascii="Times New Roman" w:hAnsi="Times New Roman"/>
          <w:b w:val="false"/>
          <w:i w:val="false"/>
          <w:color w:val="000000"/>
          <w:sz w:val="24"/>
        </w:rPr>
        <w:t xml:space="preserve">The department may authorize employees to carry a firearm while performing official duties. The department will establish policies and procedures governing the authorization of probation/parole officers and reserve peace officers subject to Iowa Code chapter </w:t>
      </w:r>
      <w:hyperlink r:id="rId37">
        <w:r>
          <w:rPr>
            <w:rStyle w:val="Hyperlink"/>
            <w:rFonts w:ascii="Times New Roman" w:hAnsi="Times New Roman"/>
            <w:b w:val="false"/>
            <w:i w:val="false"/>
            <w:color w:val="000000"/>
            <w:sz w:val="24"/>
          </w:rPr>
          <w:t>80D</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40.7(2)</w:t>
      </w:r>
      <w:r>
        <w:rPr>
          <w:rFonts w:ascii="Times New Roman" w:hAnsi="Times New Roman"/>
          <w:b w:val="false"/>
          <w:i w:val="false"/>
          <w:color w:val="000000"/>
          <w:sz w:val="24"/>
        </w:rPr>
        <w:t> </w:t>
      </w:r>
      <w:r>
        <w:rPr>
          <w:rFonts w:ascii="Times New Roman" w:hAnsi="Times New Roman"/>
          <w:b w:val="false"/>
          <w:i w:val="false"/>
          <w:color w:val="000000"/>
          <w:sz w:val="24"/>
        </w:rPr>
        <w:t xml:space="preserve">Probation/parole officers and reserve peace officers subject to Iowa Code chapter </w:t>
      </w:r>
      <w:hyperlink r:id="rId38">
        <w:r>
          <w:rPr>
            <w:rStyle w:val="Hyperlink"/>
            <w:rFonts w:ascii="Times New Roman" w:hAnsi="Times New Roman"/>
            <w:b w:val="false"/>
            <w:i w:val="false"/>
            <w:color w:val="000000"/>
            <w:sz w:val="24"/>
          </w:rPr>
          <w:t>80D</w:t>
        </w:r>
      </w:hyperlink>
      <w:r>
        <w:rPr>
          <w:rFonts w:ascii="Times New Roman" w:hAnsi="Times New Roman"/>
          <w:b w:val="false"/>
          <w:i w:val="false"/>
          <w:color w:val="000000"/>
          <w:sz w:val="24"/>
        </w:rPr>
        <w:t xml:space="preserve"> must complete the Iowa law enforcement academy curriculum before being authorized to carry a firearm. Officers authorized before February 9, 2005, are exempt from this requirement.</w:t>
      </w:r>
    </w:p>
    <w:p>
      <w:pPr>
        <w:spacing w:before="0" w:after="0" w:line="480"/>
        <w:ind w:left="120"/>
        <w:jc w:val="both"/>
      </w:pPr>
      <w:r>
        <w:rPr>
          <w:rFonts w:ascii="Times New Roman" w:hAnsi="Times New Roman"/>
          <w:b w:val="false"/>
          <w:i w:val="false"/>
          <w:color w:val="000000"/>
          <w:sz w:val="24"/>
        </w:rPr>
        <w:t xml:space="preserve">This rule is intended to implement Iowa Code section </w:t>
      </w:r>
      <w:hyperlink r:id="rId39">
        <w:r>
          <w:rPr>
            <w:rStyle w:val="Hyperlink"/>
            <w:rFonts w:ascii="Times New Roman" w:hAnsi="Times New Roman"/>
            <w:b w:val="false"/>
            <w:i w:val="false"/>
            <w:color w:val="000000"/>
            <w:sz w:val="24"/>
          </w:rPr>
          <w:t>904.108(1)</w:t>
        </w:r>
      </w:hyperlink>
      <w:r>
        <w:rPr>
          <w:rFonts w:ascii="Times New Roman" w:hAnsi="Times New Roman"/>
          <w:b w:val="false"/>
          <w:i/>
          <w:color w:val="000000"/>
          <w:sz w:val="24"/>
        </w:rPr>
        <w:t>“l.”</w:t>
      </w:r>
    </w:p>
    <w:p>
      <w:pPr>
        <w:pBdr>
          <w:top w:space="10"/>
        </w:pBdr>
        <w:spacing w:before="0" w:after="0" w:line="480"/>
        <w:ind w:left="120"/>
        <w:jc w:val="center"/>
      </w:pPr>
      <w:r>
        <w:rPr>
          <w:rFonts w:ascii="Times New Roman" w:hAnsi="Times New Roman"/>
          <w:b w:val="false"/>
          <w:i w:val="false"/>
          <w:color w:val="000000"/>
          <w:sz w:val="16"/>
        </w:rPr>
        <w:t>DIVISION II</w:t>
      </w:r>
    </w:p>
    <w:p>
      <w:pPr>
        <w:pBdr>
          <w:bottom w:space="10"/>
        </w:pBdr>
        <w:spacing w:before="0" w:after="0" w:line="480"/>
        <w:ind w:left="120"/>
        <w:jc w:val="center"/>
      </w:pPr>
      <w:r>
        <w:rPr>
          <w:rFonts w:ascii="Times New Roman" w:hAnsi="Times New Roman"/>
          <w:b w:val="false"/>
          <w:i w:val="false"/>
          <w:color w:val="000000"/>
          <w:sz w:val="16"/>
        </w:rPr>
        <w:t>PRECONVICTION SERVICES</w:t>
      </w:r>
    </w:p>
    <w:p>
      <w:pPr>
        <w:spacing w:before="0" w:after="0" w:line="480"/>
        <w:ind w:left="120"/>
        <w:jc w:val="both"/>
      </w:pPr>
      <w:r>
        <w:rPr>
          <w:rFonts w:ascii="Times New Roman" w:hAnsi="Times New Roman"/>
          <w:b/>
          <w:i w:val="false"/>
          <w:color w:val="000000"/>
          <w:sz w:val="24"/>
        </w:rPr>
        <w:t>201—40.8</w:t>
      </w:r>
      <w:r>
        <w:rPr>
          <w:rFonts w:ascii="Times New Roman" w:hAnsi="Times New Roman"/>
          <w:b/>
          <w:i w:val="false"/>
          <w:color w:val="000000"/>
          <w:sz w:val="24"/>
        </w:rPr>
        <w:t xml:space="preserve">(811,901,904) </w:t>
      </w:r>
      <w:r>
        <w:rPr>
          <w:rFonts w:ascii="Times New Roman" w:hAnsi="Times New Roman"/>
          <w:b/>
          <w:i w:val="false"/>
          <w:color w:val="000000"/>
          <w:sz w:val="24"/>
        </w:rPr>
        <w:t xml:space="preserve">Preconviction services.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40.8(1)</w:t>
      </w:r>
      <w:r>
        <w:rPr>
          <w:rFonts w:ascii="Times New Roman" w:hAnsi="Times New Roman"/>
          <w:b w:val="false"/>
          <w:i w:val="false"/>
          <w:color w:val="000000"/>
          <w:sz w:val="24"/>
        </w:rPr>
        <w:t> </w:t>
      </w:r>
      <w:r>
        <w:rPr>
          <w:rFonts w:ascii="Times New Roman" w:hAnsi="Times New Roman"/>
          <w:b w:val="false"/>
          <w:i/>
          <w:color w:val="000000"/>
          <w:sz w:val="24"/>
        </w:rPr>
        <w:t xml:space="preserve">Pretrial services.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The district department will designate staff to conduct pretrial screenings and administer pretrial release services.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The district department will establish a system of communication with law enforcement and the judiciary regarding the availability of pretrial services.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The department will maintain policies and procedures governing pretrial services, including but not limited to:</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Identification and timely screening of persons eligible for pretrial services,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 xml:space="preserve">Screening criteria that require consideration of conditions contained within Iowa Code section </w:t>
      </w:r>
      <w:hyperlink r:id="rId40">
        <w:r>
          <w:rPr>
            <w:rStyle w:val="Hyperlink"/>
            <w:rFonts w:ascii="Times New Roman" w:hAnsi="Times New Roman"/>
            <w:b w:val="false"/>
            <w:i w:val="false"/>
            <w:color w:val="000000"/>
            <w:sz w:val="24"/>
          </w:rPr>
          <w:t>811.2</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Reporting violations of conditions of release to the court,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Supervision of persons released under pretrial services, and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(5)</w:t>
      </w:r>
      <w:r>
        <w:rPr>
          <w:rFonts w:ascii="Times New Roman" w:hAnsi="Times New Roman"/>
          <w:b w:val="false"/>
          <w:i w:val="false"/>
          <w:color w:val="000000"/>
          <w:sz w:val="24"/>
        </w:rPr>
        <w:t>  </w:t>
      </w:r>
      <w:r>
        <w:rPr>
          <w:rFonts w:ascii="Times New Roman" w:hAnsi="Times New Roman"/>
          <w:b w:val="false"/>
          <w:i w:val="false"/>
          <w:color w:val="000000"/>
          <w:sz w:val="24"/>
        </w:rPr>
        <w:t>Notifying the supervising agent of any pretrial screenings for existing clients.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 xml:space="preserve">A grievance process applicable to persons under pretrial supervision will be provided in accordance with rule </w:t>
      </w:r>
      <w:hyperlink r:id="rId41">
        <w:r>
          <w:rPr>
            <w:rStyle w:val="Hyperlink"/>
            <w:rFonts w:ascii="Times New Roman" w:hAnsi="Times New Roman"/>
            <w:b w:val="false"/>
            <w:i w:val="false"/>
            <w:color w:val="000000"/>
            <w:sz w:val="24"/>
          </w:rPr>
          <w:t>201—40.2</w:t>
        </w:r>
      </w:hyperlink>
      <w:r>
        <w:rPr>
          <w:rFonts w:ascii="Times New Roman" w:hAnsi="Times New Roman"/>
          <w:b w:val="false"/>
          <w:i w:val="false"/>
          <w:color w:val="000000"/>
          <w:sz w:val="24"/>
        </w:rPr>
        <w:t>(904).</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w:t>
      </w:r>
      <w:r>
        <w:rPr>
          <w:rFonts w:ascii="Times New Roman" w:hAnsi="Times New Roman"/>
          <w:b w:val="false"/>
          <w:i w:val="false"/>
          <w:color w:val="000000"/>
          <w:sz w:val="24"/>
        </w:rPr>
        <w:t>  </w:t>
      </w:r>
      <w:r>
        <w:rPr>
          <w:rFonts w:ascii="Times New Roman" w:hAnsi="Times New Roman"/>
          <w:b w:val="false"/>
          <w:i w:val="false"/>
          <w:color w:val="000000"/>
          <w:sz w:val="24"/>
        </w:rPr>
        <w:t xml:space="preserve">Electronic case records will be maintained on each active case under supervised release in accordance with rule </w:t>
      </w:r>
      <w:hyperlink r:id="rId42">
        <w:r>
          <w:rPr>
            <w:rStyle w:val="Hyperlink"/>
            <w:rFonts w:ascii="Times New Roman" w:hAnsi="Times New Roman"/>
            <w:b w:val="false"/>
            <w:i w:val="false"/>
            <w:color w:val="000000"/>
            <w:sz w:val="24"/>
          </w:rPr>
          <w:t>201—40.3</w:t>
        </w:r>
      </w:hyperlink>
      <w:r>
        <w:rPr>
          <w:rFonts w:ascii="Times New Roman" w:hAnsi="Times New Roman"/>
          <w:b w:val="false"/>
          <w:i w:val="false"/>
          <w:color w:val="000000"/>
          <w:sz w:val="24"/>
        </w:rPr>
        <w:t>(904).</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40.8(2)</w:t>
      </w:r>
      <w:r>
        <w:rPr>
          <w:rFonts w:ascii="Times New Roman" w:hAnsi="Times New Roman"/>
          <w:b w:val="false"/>
          <w:i w:val="false"/>
          <w:color w:val="000000"/>
          <w:sz w:val="24"/>
        </w:rPr>
        <w:t> </w:t>
      </w:r>
      <w:r>
        <w:rPr>
          <w:rFonts w:ascii="Times New Roman" w:hAnsi="Times New Roman"/>
          <w:b w:val="false"/>
          <w:i/>
          <w:color w:val="000000"/>
          <w:sz w:val="24"/>
        </w:rPr>
        <w:t xml:space="preserve">Presentence investigation.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The district department will conduct presentence investigations ordered by the court.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The department will maintain policies and procedures governing presentence investigations, including but not limited to:</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 xml:space="preserve">Preparation of presentence investigation reports in accordance with Iowa Code section </w:t>
      </w:r>
      <w:hyperlink r:id="rId43">
        <w:r>
          <w:rPr>
            <w:rStyle w:val="Hyperlink"/>
            <w:rFonts w:ascii="Times New Roman" w:hAnsi="Times New Roman"/>
            <w:b w:val="false"/>
            <w:i w:val="false"/>
            <w:color w:val="000000"/>
            <w:sz w:val="24"/>
          </w:rPr>
          <w:t>901.3</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Inclusion of the results of a department-approved validated risk assessment,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Timely transmittal of the presentence investigation report to the court, and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 xml:space="preserve">Confidential handling of presentence investigation reports in accordance with Iowa Code section </w:t>
      </w:r>
      <w:hyperlink r:id="rId44">
        <w:r>
          <w:rPr>
            <w:rStyle w:val="Hyperlink"/>
            <w:rFonts w:ascii="Times New Roman" w:hAnsi="Times New Roman"/>
            <w:b w:val="false"/>
            <w:i w:val="false"/>
            <w:color w:val="000000"/>
            <w:sz w:val="24"/>
          </w:rPr>
          <w:t>901.4</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xml:space="preserve">This rule is intended to implement Iowa Code chapters </w:t>
      </w:r>
      <w:hyperlink r:id="rId45">
        <w:r>
          <w:rPr>
            <w:rStyle w:val="Hyperlink"/>
            <w:rFonts w:ascii="Times New Roman" w:hAnsi="Times New Roman"/>
            <w:b w:val="false"/>
            <w:i w:val="false"/>
            <w:color w:val="000000"/>
            <w:sz w:val="24"/>
          </w:rPr>
          <w:t>811</w:t>
        </w:r>
      </w:hyperlink>
      <w:r>
        <w:rPr>
          <w:rFonts w:ascii="Times New Roman" w:hAnsi="Times New Roman"/>
          <w:b w:val="false"/>
          <w:i w:val="false"/>
          <w:color w:val="000000"/>
          <w:sz w:val="24"/>
        </w:rPr>
        <w:t xml:space="preserve"> and </w:t>
      </w:r>
      <w:hyperlink r:id="rId46">
        <w:r>
          <w:rPr>
            <w:rStyle w:val="Hyperlink"/>
            <w:rFonts w:ascii="Times New Roman" w:hAnsi="Times New Roman"/>
            <w:b w:val="false"/>
            <w:i w:val="false"/>
            <w:color w:val="000000"/>
            <w:sz w:val="24"/>
          </w:rPr>
          <w:t>901</w:t>
        </w:r>
      </w:hyperlink>
      <w:r>
        <w:rPr>
          <w:rFonts w:ascii="Times New Roman" w:hAnsi="Times New Roman"/>
          <w:b w:val="false"/>
          <w:i w:val="false"/>
          <w:color w:val="000000"/>
          <w:sz w:val="24"/>
        </w:rPr>
        <w:t xml:space="preserve"> and section </w:t>
      </w:r>
      <w:hyperlink r:id="rId47">
        <w:r>
          <w:rPr>
            <w:rStyle w:val="Hyperlink"/>
            <w:rFonts w:ascii="Times New Roman" w:hAnsi="Times New Roman"/>
            <w:b w:val="false"/>
            <w:i w:val="false"/>
            <w:color w:val="000000"/>
            <w:sz w:val="24"/>
          </w:rPr>
          <w:t>904.108(1)</w:t>
        </w:r>
      </w:hyperlink>
      <w:r>
        <w:rPr>
          <w:rFonts w:ascii="Times New Roman" w:hAnsi="Times New Roman"/>
          <w:b w:val="false"/>
          <w:i/>
          <w:color w:val="000000"/>
          <w:sz w:val="24"/>
        </w:rPr>
        <w:t>“l.”</w:t>
      </w:r>
    </w:p>
    <w:p>
      <w:pPr>
        <w:pBdr>
          <w:top w:space="10"/>
        </w:pBdr>
        <w:spacing w:before="0" w:after="0" w:line="480"/>
        <w:ind w:left="120"/>
        <w:jc w:val="center"/>
      </w:pPr>
      <w:r>
        <w:rPr>
          <w:rFonts w:ascii="Times New Roman" w:hAnsi="Times New Roman"/>
          <w:b w:val="false"/>
          <w:i w:val="false"/>
          <w:color w:val="000000"/>
          <w:sz w:val="16"/>
        </w:rPr>
        <w:t>DIVISION III</w:t>
      </w:r>
    </w:p>
    <w:p>
      <w:pPr>
        <w:pBdr>
          <w:bottom w:space="10"/>
        </w:pBdr>
        <w:spacing w:before="0" w:after="0" w:line="480"/>
        <w:ind w:left="120"/>
        <w:jc w:val="center"/>
      </w:pPr>
      <w:r>
        <w:rPr>
          <w:rFonts w:ascii="Times New Roman" w:hAnsi="Times New Roman"/>
          <w:b w:val="false"/>
          <w:i w:val="false"/>
          <w:color w:val="000000"/>
          <w:sz w:val="16"/>
        </w:rPr>
        <w:t>PROBATION SERVICES</w:t>
      </w:r>
    </w:p>
    <w:p>
      <w:pPr>
        <w:spacing w:before="0" w:after="0" w:line="480"/>
        <w:ind w:left="120"/>
        <w:jc w:val="both"/>
      </w:pPr>
      <w:r>
        <w:rPr>
          <w:rFonts w:ascii="Times New Roman" w:hAnsi="Times New Roman"/>
          <w:b/>
          <w:i w:val="false"/>
          <w:color w:val="000000"/>
          <w:sz w:val="24"/>
        </w:rPr>
        <w:t>201—40.9</w:t>
      </w:r>
      <w:r>
        <w:rPr>
          <w:rFonts w:ascii="Times New Roman" w:hAnsi="Times New Roman"/>
          <w:b/>
          <w:i w:val="false"/>
          <w:color w:val="000000"/>
          <w:sz w:val="24"/>
        </w:rPr>
        <w:t xml:space="preserve">(904,907,908,910) </w:t>
      </w:r>
      <w:r>
        <w:rPr>
          <w:rFonts w:ascii="Times New Roman" w:hAnsi="Times New Roman"/>
          <w:b/>
          <w:i w:val="false"/>
          <w:color w:val="000000"/>
          <w:sz w:val="24"/>
        </w:rPr>
        <w:t xml:space="preserve">Probation services. </w:t>
      </w:r>
      <w:r>
        <w:rPr>
          <w:rFonts w:ascii="Times New Roman" w:hAnsi="Times New Roman"/>
          <w:b w:val="false"/>
          <w:i w:val="false"/>
          <w:color w:val="000000"/>
          <w:sz w:val="24"/>
        </w:rPr>
        <w:t>The department will provide probation services throughout each district department and will maintain policies and procedures governing probation supervision, including but not limited to:</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40.9(1)</w:t>
      </w:r>
      <w:r>
        <w:rPr>
          <w:rFonts w:ascii="Times New Roman" w:hAnsi="Times New Roman"/>
          <w:b w:val="false"/>
          <w:i w:val="false"/>
          <w:color w:val="000000"/>
          <w:sz w:val="24"/>
        </w:rPr>
        <w:t> </w:t>
      </w:r>
      <w:r>
        <w:rPr>
          <w:rFonts w:ascii="Times New Roman" w:hAnsi="Times New Roman"/>
          <w:b w:val="false"/>
          <w:i w:val="false"/>
          <w:color w:val="000000"/>
          <w:sz w:val="24"/>
        </w:rPr>
        <w:t>Uniform classification and supervision of probationers.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40.9(2)</w:t>
      </w:r>
      <w:r>
        <w:rPr>
          <w:rFonts w:ascii="Times New Roman" w:hAnsi="Times New Roman"/>
          <w:b w:val="false"/>
          <w:i w:val="false"/>
          <w:color w:val="000000"/>
          <w:sz w:val="24"/>
        </w:rPr>
        <w:t> </w:t>
      </w:r>
      <w:r>
        <w:rPr>
          <w:rFonts w:ascii="Times New Roman" w:hAnsi="Times New Roman"/>
          <w:b w:val="false"/>
          <w:i w:val="false"/>
          <w:color w:val="000000"/>
          <w:sz w:val="24"/>
        </w:rPr>
        <w:t xml:space="preserve">Use of the statewide approved case management system and a statewide validated risk/needs assessment instrument to inform supervision and case planning consistent with the risk-need-responsivity model and core correctional practices in accordance with rule </w:t>
      </w:r>
      <w:hyperlink r:id="rId48">
        <w:r>
          <w:rPr>
            <w:rStyle w:val="Hyperlink"/>
            <w:rFonts w:ascii="Times New Roman" w:hAnsi="Times New Roman"/>
            <w:b w:val="false"/>
            <w:i w:val="false"/>
            <w:color w:val="000000"/>
            <w:sz w:val="24"/>
          </w:rPr>
          <w:t>201—40.4</w:t>
        </w:r>
      </w:hyperlink>
      <w:r>
        <w:rPr>
          <w:rFonts w:ascii="Times New Roman" w:hAnsi="Times New Roman"/>
          <w:b w:val="false"/>
          <w:i w:val="false"/>
          <w:color w:val="000000"/>
          <w:sz w:val="24"/>
        </w:rPr>
        <w:t>(904).</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40.9(3)</w:t>
      </w:r>
      <w:r>
        <w:rPr>
          <w:rFonts w:ascii="Times New Roman" w:hAnsi="Times New Roman"/>
          <w:b w:val="false"/>
          <w:i w:val="false"/>
          <w:color w:val="000000"/>
          <w:sz w:val="24"/>
        </w:rPr>
        <w:t> </w:t>
      </w:r>
      <w:r>
        <w:rPr>
          <w:rFonts w:ascii="Times New Roman" w:hAnsi="Times New Roman"/>
          <w:b w:val="false"/>
          <w:i w:val="false"/>
          <w:color w:val="000000"/>
          <w:sz w:val="24"/>
        </w:rPr>
        <w:t>Establishment of probation conditions that meet the approval of the court and procedures to ensure clients receive those conditions in writing, including documentation of receipt.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40.9(4)</w:t>
      </w:r>
      <w:r>
        <w:rPr>
          <w:rFonts w:ascii="Times New Roman" w:hAnsi="Times New Roman"/>
          <w:b w:val="false"/>
          <w:i w:val="false"/>
          <w:color w:val="000000"/>
          <w:sz w:val="24"/>
        </w:rPr>
        <w:t> </w:t>
      </w:r>
      <w:r>
        <w:rPr>
          <w:rFonts w:ascii="Times New Roman" w:hAnsi="Times New Roman"/>
          <w:b w:val="false"/>
          <w:i w:val="false"/>
          <w:color w:val="000000"/>
          <w:sz w:val="24"/>
        </w:rPr>
        <w:t>Searches of clients under probation supervision and the search and seizure of their property in accordance with court requirements.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40.9(5)</w:t>
      </w:r>
      <w:r>
        <w:rPr>
          <w:rFonts w:ascii="Times New Roman" w:hAnsi="Times New Roman"/>
          <w:b w:val="false"/>
          <w:i w:val="false"/>
          <w:color w:val="000000"/>
          <w:sz w:val="24"/>
        </w:rPr>
        <w:t> </w:t>
      </w:r>
      <w:r>
        <w:rPr>
          <w:rFonts w:ascii="Times New Roman" w:hAnsi="Times New Roman"/>
          <w:b w:val="false"/>
          <w:i w:val="false"/>
          <w:color w:val="000000"/>
          <w:sz w:val="24"/>
        </w:rPr>
        <w:t>Reporting violations of probation and recommending revocation to the court.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40.9(6)</w:t>
      </w:r>
      <w:r>
        <w:rPr>
          <w:rFonts w:ascii="Times New Roman" w:hAnsi="Times New Roman"/>
          <w:b w:val="false"/>
          <w:i w:val="false"/>
          <w:color w:val="000000"/>
          <w:sz w:val="24"/>
        </w:rPr>
        <w:t> </w:t>
      </w:r>
      <w:r>
        <w:rPr>
          <w:rFonts w:ascii="Times New Roman" w:hAnsi="Times New Roman"/>
          <w:b w:val="false"/>
          <w:i w:val="false"/>
          <w:color w:val="000000"/>
          <w:sz w:val="24"/>
        </w:rPr>
        <w:t>Determining when an arrest may be made or a client should be taken into custody.</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40.9(7)</w:t>
      </w:r>
      <w:r>
        <w:rPr>
          <w:rFonts w:ascii="Times New Roman" w:hAnsi="Times New Roman"/>
          <w:b w:val="false"/>
          <w:i w:val="false"/>
          <w:color w:val="000000"/>
          <w:sz w:val="24"/>
        </w:rPr>
        <w:t> </w:t>
      </w:r>
      <w:r>
        <w:rPr>
          <w:rFonts w:ascii="Times New Roman" w:hAnsi="Times New Roman"/>
          <w:b w:val="false"/>
          <w:i w:val="false"/>
          <w:color w:val="000000"/>
          <w:sz w:val="24"/>
        </w:rPr>
        <w:t>Requesting discharge from probation, including recommendations when a client has met court obligations, no longer poses a threat to the community, or cannot benefit substantially from further supervision.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40.9(8)</w:t>
      </w:r>
      <w:r>
        <w:rPr>
          <w:rFonts w:ascii="Times New Roman" w:hAnsi="Times New Roman"/>
          <w:b w:val="false"/>
          <w:i w:val="false"/>
          <w:color w:val="000000"/>
          <w:sz w:val="24"/>
        </w:rPr>
        <w:t> </w:t>
      </w:r>
      <w:r>
        <w:rPr>
          <w:rFonts w:ascii="Times New Roman" w:hAnsi="Times New Roman"/>
          <w:b w:val="false"/>
          <w:i w:val="false"/>
          <w:color w:val="000000"/>
          <w:sz w:val="24"/>
        </w:rPr>
        <w:t xml:space="preserve">A grievance process for clients under probation supervision in accordance with rule </w:t>
      </w:r>
      <w:hyperlink r:id="rId49">
        <w:r>
          <w:rPr>
            <w:rStyle w:val="Hyperlink"/>
            <w:rFonts w:ascii="Times New Roman" w:hAnsi="Times New Roman"/>
            <w:b w:val="false"/>
            <w:i w:val="false"/>
            <w:color w:val="000000"/>
            <w:sz w:val="24"/>
          </w:rPr>
          <w:t>201—40.2</w:t>
        </w:r>
      </w:hyperlink>
      <w:r>
        <w:rPr>
          <w:rFonts w:ascii="Times New Roman" w:hAnsi="Times New Roman"/>
          <w:b w:val="false"/>
          <w:i w:val="false"/>
          <w:color w:val="000000"/>
          <w:sz w:val="24"/>
        </w:rPr>
        <w:t>(904).</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40.9(9)</w:t>
      </w:r>
      <w:r>
        <w:rPr>
          <w:rFonts w:ascii="Times New Roman" w:hAnsi="Times New Roman"/>
          <w:b w:val="false"/>
          <w:i w:val="false"/>
          <w:color w:val="000000"/>
          <w:sz w:val="24"/>
        </w:rPr>
        <w:t> </w:t>
      </w:r>
      <w:r>
        <w:rPr>
          <w:rFonts w:ascii="Times New Roman" w:hAnsi="Times New Roman"/>
          <w:b w:val="false"/>
          <w:i w:val="false"/>
          <w:color w:val="000000"/>
          <w:sz w:val="24"/>
        </w:rPr>
        <w:t xml:space="preserve">Maintenance of an electronic case record for each client under supervision in accordance with rule </w:t>
      </w:r>
      <w:hyperlink r:id="rId50">
        <w:r>
          <w:rPr>
            <w:rStyle w:val="Hyperlink"/>
            <w:rFonts w:ascii="Times New Roman" w:hAnsi="Times New Roman"/>
            <w:b w:val="false"/>
            <w:i w:val="false"/>
            <w:color w:val="000000"/>
            <w:sz w:val="24"/>
          </w:rPr>
          <w:t>201—40.3</w:t>
        </w:r>
      </w:hyperlink>
      <w:r>
        <w:rPr>
          <w:rFonts w:ascii="Times New Roman" w:hAnsi="Times New Roman"/>
          <w:b w:val="false"/>
          <w:i w:val="false"/>
          <w:color w:val="000000"/>
          <w:sz w:val="24"/>
        </w:rPr>
        <w:t>(904).</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40.9(10)</w:t>
      </w:r>
      <w:r>
        <w:rPr>
          <w:rFonts w:ascii="Times New Roman" w:hAnsi="Times New Roman"/>
          <w:b w:val="false"/>
          <w:i w:val="false"/>
          <w:color w:val="000000"/>
          <w:sz w:val="24"/>
        </w:rPr>
        <w:t> </w:t>
      </w:r>
      <w:r>
        <w:rPr>
          <w:rFonts w:ascii="Times New Roman" w:hAnsi="Times New Roman"/>
          <w:b w:val="false"/>
          <w:i w:val="false"/>
          <w:color w:val="000000"/>
          <w:sz w:val="24"/>
        </w:rPr>
        <w:t xml:space="preserve">Preparation, submission, review, and modification of the restitution plan of payment will be conducted in accordance with Iowa Code chapter </w:t>
      </w:r>
      <w:hyperlink r:id="rId51">
        <w:r>
          <w:rPr>
            <w:rStyle w:val="Hyperlink"/>
            <w:rFonts w:ascii="Times New Roman" w:hAnsi="Times New Roman"/>
            <w:b w:val="false"/>
            <w:i w:val="false"/>
            <w:color w:val="000000"/>
            <w:sz w:val="24"/>
          </w:rPr>
          <w:t>910</w:t>
        </w:r>
      </w:hyperlink>
      <w:r>
        <w:rPr>
          <w:rFonts w:ascii="Times New Roman" w:hAnsi="Times New Roman"/>
          <w:b w:val="false"/>
          <w:i w:val="false"/>
          <w:color w:val="000000"/>
          <w:sz w:val="24"/>
        </w:rPr>
        <w:t xml:space="preserve"> and rule </w:t>
      </w:r>
      <w:hyperlink r:id="rId52">
        <w:r>
          <w:rPr>
            <w:rStyle w:val="Hyperlink"/>
            <w:rFonts w:ascii="Times New Roman" w:hAnsi="Times New Roman"/>
            <w:b w:val="false"/>
            <w:i w:val="false"/>
            <w:color w:val="000000"/>
            <w:sz w:val="24"/>
          </w:rPr>
          <w:t>201—40.5</w:t>
        </w:r>
      </w:hyperlink>
      <w:r>
        <w:rPr>
          <w:rFonts w:ascii="Times New Roman" w:hAnsi="Times New Roman"/>
          <w:b w:val="false"/>
          <w:i w:val="false"/>
          <w:color w:val="000000"/>
          <w:sz w:val="24"/>
        </w:rPr>
        <w:t>(904,907,910).</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40.9(11)</w:t>
      </w:r>
      <w:r>
        <w:rPr>
          <w:rFonts w:ascii="Times New Roman" w:hAnsi="Times New Roman"/>
          <w:b w:val="false"/>
          <w:i w:val="false"/>
          <w:color w:val="000000"/>
          <w:sz w:val="24"/>
        </w:rPr>
        <w:t> </w:t>
      </w:r>
      <w:r>
        <w:rPr>
          <w:rFonts w:ascii="Times New Roman" w:hAnsi="Times New Roman"/>
          <w:b w:val="false"/>
          <w:i w:val="false"/>
          <w:color w:val="000000"/>
          <w:sz w:val="24"/>
        </w:rPr>
        <w:t xml:space="preserve">Preparation, submission, review, and modification of the plan of community service in accordance with Iowa Code chapters </w:t>
      </w:r>
      <w:hyperlink r:id="rId53">
        <w:r>
          <w:rPr>
            <w:rStyle w:val="Hyperlink"/>
            <w:rFonts w:ascii="Times New Roman" w:hAnsi="Times New Roman"/>
            <w:b w:val="false"/>
            <w:i w:val="false"/>
            <w:color w:val="000000"/>
            <w:sz w:val="24"/>
          </w:rPr>
          <w:t>907</w:t>
        </w:r>
      </w:hyperlink>
      <w:r>
        <w:rPr>
          <w:rFonts w:ascii="Times New Roman" w:hAnsi="Times New Roman"/>
          <w:b w:val="false"/>
          <w:i w:val="false"/>
          <w:color w:val="000000"/>
          <w:sz w:val="24"/>
        </w:rPr>
        <w:t xml:space="preserve"> and </w:t>
      </w:r>
      <w:hyperlink r:id="rId54">
        <w:r>
          <w:rPr>
            <w:rStyle w:val="Hyperlink"/>
            <w:rFonts w:ascii="Times New Roman" w:hAnsi="Times New Roman"/>
            <w:b w:val="false"/>
            <w:i w:val="false"/>
            <w:color w:val="000000"/>
            <w:sz w:val="24"/>
          </w:rPr>
          <w:t>910</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40.9(12)</w:t>
      </w:r>
      <w:r>
        <w:rPr>
          <w:rFonts w:ascii="Times New Roman" w:hAnsi="Times New Roman"/>
          <w:b w:val="false"/>
          <w:i w:val="false"/>
          <w:color w:val="000000"/>
          <w:sz w:val="24"/>
        </w:rPr>
        <w:t> </w:t>
      </w:r>
      <w:r>
        <w:rPr>
          <w:rFonts w:ascii="Times New Roman" w:hAnsi="Times New Roman"/>
          <w:b w:val="false"/>
          <w:i w:val="false"/>
          <w:color w:val="000000"/>
          <w:sz w:val="24"/>
        </w:rPr>
        <w:t xml:space="preserve">Preparation, submission, review, modification, collection and retention of supervision enrollment fees, including the waiver of fees for persons determined unable to pay, in accordance with Iowa Code section </w:t>
      </w:r>
      <w:hyperlink r:id="rId55">
        <w:r>
          <w:rPr>
            <w:rStyle w:val="Hyperlink"/>
            <w:rFonts w:ascii="Times New Roman" w:hAnsi="Times New Roman"/>
            <w:b w:val="false"/>
            <w:i w:val="false"/>
            <w:color w:val="000000"/>
            <w:sz w:val="24"/>
          </w:rPr>
          <w:t>904.912</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xml:space="preserve">This rule is intended to implement Iowa Code chapter </w:t>
      </w:r>
      <w:hyperlink r:id="rId56">
        <w:r>
          <w:rPr>
            <w:rStyle w:val="Hyperlink"/>
            <w:rFonts w:ascii="Times New Roman" w:hAnsi="Times New Roman"/>
            <w:b w:val="false"/>
            <w:i w:val="false"/>
            <w:color w:val="000000"/>
            <w:sz w:val="24"/>
          </w:rPr>
          <w:t>907</w:t>
        </w:r>
      </w:hyperlink>
      <w:r>
        <w:rPr>
          <w:rFonts w:ascii="Times New Roman" w:hAnsi="Times New Roman"/>
          <w:b w:val="false"/>
          <w:i w:val="false"/>
          <w:color w:val="000000"/>
          <w:sz w:val="24"/>
        </w:rPr>
        <w:t xml:space="preserve"> and sections </w:t>
      </w:r>
      <w:hyperlink r:id="rId57">
        <w:r>
          <w:rPr>
            <w:rStyle w:val="Hyperlink"/>
            <w:rFonts w:ascii="Times New Roman" w:hAnsi="Times New Roman"/>
            <w:b w:val="false"/>
            <w:i w:val="false"/>
            <w:color w:val="000000"/>
            <w:sz w:val="24"/>
          </w:rPr>
          <w:t>904.108</w:t>
        </w:r>
      </w:hyperlink>
      <w:r>
        <w:rPr>
          <w:rFonts w:ascii="Times New Roman" w:hAnsi="Times New Roman"/>
          <w:b w:val="false"/>
          <w:i w:val="false"/>
          <w:color w:val="000000"/>
          <w:sz w:val="24"/>
        </w:rPr>
        <w:t xml:space="preserve">, </w:t>
      </w:r>
      <w:hyperlink r:id="rId58">
        <w:r>
          <w:rPr>
            <w:rStyle w:val="Hyperlink"/>
            <w:rFonts w:ascii="Times New Roman" w:hAnsi="Times New Roman"/>
            <w:b w:val="false"/>
            <w:i w:val="false"/>
            <w:color w:val="000000"/>
            <w:sz w:val="24"/>
          </w:rPr>
          <w:t>908.11</w:t>
        </w:r>
      </w:hyperlink>
      <w:r>
        <w:rPr>
          <w:rFonts w:ascii="Times New Roman" w:hAnsi="Times New Roman"/>
          <w:b w:val="false"/>
          <w:i w:val="false"/>
          <w:color w:val="000000"/>
          <w:sz w:val="24"/>
        </w:rPr>
        <w:t xml:space="preserve"> and </w:t>
      </w:r>
      <w:hyperlink r:id="rId59">
        <w:r>
          <w:rPr>
            <w:rStyle w:val="Hyperlink"/>
            <w:rFonts w:ascii="Times New Roman" w:hAnsi="Times New Roman"/>
            <w:b w:val="false"/>
            <w:i w:val="false"/>
            <w:color w:val="000000"/>
            <w:sz w:val="24"/>
          </w:rPr>
          <w:t>910.5</w:t>
        </w:r>
      </w:hyperlink>
      <w:r>
        <w:rPr>
          <w:rFonts w:ascii="Times New Roman" w:hAnsi="Times New Roman"/>
          <w:b w:val="false"/>
          <w:i w:val="false"/>
          <w:color w:val="000000"/>
          <w:sz w:val="24"/>
        </w:rPr>
        <w:t>.</w:t>
      </w:r>
    </w:p>
    <w:p>
      <w:pPr>
        <w:pBdr>
          <w:top w:space="10"/>
        </w:pBdr>
        <w:spacing w:before="0" w:after="0" w:line="480"/>
        <w:ind w:left="120"/>
        <w:jc w:val="center"/>
      </w:pPr>
      <w:r>
        <w:rPr>
          <w:rFonts w:ascii="Times New Roman" w:hAnsi="Times New Roman"/>
          <w:b w:val="false"/>
          <w:i w:val="false"/>
          <w:color w:val="000000"/>
          <w:sz w:val="16"/>
        </w:rPr>
        <w:t>DIVISION IV</w:t>
      </w:r>
    </w:p>
    <w:p>
      <w:pPr>
        <w:pBdr>
          <w:bottom w:space="10"/>
        </w:pBdr>
        <w:spacing w:before="0" w:after="0" w:line="480"/>
        <w:ind w:left="120"/>
        <w:jc w:val="center"/>
      </w:pPr>
      <w:r>
        <w:rPr>
          <w:rFonts w:ascii="Times New Roman" w:hAnsi="Times New Roman"/>
          <w:b w:val="false"/>
          <w:i w:val="false"/>
          <w:color w:val="000000"/>
          <w:sz w:val="16"/>
        </w:rPr>
        <w:t>PAROLE SERVICES</w:t>
      </w:r>
    </w:p>
    <w:p>
      <w:pPr>
        <w:spacing w:before="0" w:after="0" w:line="480"/>
        <w:ind w:left="120"/>
        <w:jc w:val="both"/>
      </w:pPr>
      <w:r>
        <w:rPr>
          <w:rFonts w:ascii="Times New Roman" w:hAnsi="Times New Roman"/>
          <w:b/>
          <w:i w:val="false"/>
          <w:color w:val="000000"/>
          <w:sz w:val="24"/>
        </w:rPr>
        <w:t>201—40.10</w:t>
      </w:r>
      <w:r>
        <w:rPr>
          <w:rFonts w:ascii="Times New Roman" w:hAnsi="Times New Roman"/>
          <w:b/>
          <w:i w:val="false"/>
          <w:color w:val="000000"/>
          <w:sz w:val="24"/>
        </w:rPr>
        <w:t xml:space="preserve">(904,906,908,910) </w:t>
      </w:r>
      <w:r>
        <w:rPr>
          <w:rFonts w:ascii="Times New Roman" w:hAnsi="Times New Roman"/>
          <w:b/>
          <w:i w:val="false"/>
          <w:color w:val="000000"/>
          <w:sz w:val="24"/>
        </w:rPr>
        <w:t xml:space="preserve">Parole services.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40.10(1)</w:t>
      </w:r>
      <w:r>
        <w:rPr>
          <w:rFonts w:ascii="Times New Roman" w:hAnsi="Times New Roman"/>
          <w:b w:val="false"/>
          <w:i w:val="false"/>
          <w:color w:val="000000"/>
          <w:sz w:val="24"/>
        </w:rPr>
        <w:t> </w:t>
      </w:r>
      <w:r>
        <w:rPr>
          <w:rFonts w:ascii="Times New Roman" w:hAnsi="Times New Roman"/>
          <w:b w:val="false"/>
          <w:i/>
          <w:color w:val="000000"/>
          <w:sz w:val="24"/>
        </w:rPr>
        <w:t xml:space="preserve">Supervision. </w:t>
      </w:r>
      <w:r>
        <w:rPr>
          <w:rFonts w:ascii="Times New Roman" w:hAnsi="Times New Roman"/>
          <w:b w:val="false"/>
          <w:i w:val="false"/>
          <w:color w:val="000000"/>
          <w:sz w:val="24"/>
        </w:rPr>
        <w:t>Persons granted parole by the board of parole are supervised by a district department. Conditions of parole are imposed as established and approved by the board of parole.</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40.10(2)</w:t>
      </w:r>
      <w:r>
        <w:rPr>
          <w:rFonts w:ascii="Times New Roman" w:hAnsi="Times New Roman"/>
          <w:b w:val="false"/>
          <w:i w:val="false"/>
          <w:color w:val="000000"/>
          <w:sz w:val="24"/>
        </w:rPr>
        <w:t> </w:t>
      </w:r>
      <w:r>
        <w:rPr>
          <w:rFonts w:ascii="Times New Roman" w:hAnsi="Times New Roman"/>
          <w:b w:val="false"/>
          <w:i/>
          <w:color w:val="000000"/>
          <w:sz w:val="24"/>
        </w:rPr>
        <w:t xml:space="preserve">Effective date/parole agreement. </w:t>
      </w:r>
      <w:r>
        <w:rPr>
          <w:rFonts w:ascii="Times New Roman" w:hAnsi="Times New Roman"/>
          <w:b w:val="false"/>
          <w:i w:val="false"/>
          <w:color w:val="000000"/>
          <w:sz w:val="24"/>
        </w:rPr>
        <w:t>Parole is effective only upon the incarcerated individual’s acceptance of the terms of parole as evidenced by the signing of the parole agreement unless otherwise prescribed by law. The parole agreement is issued only upon the written order of the board of parole and only after approval of the parole plan. A parolee will not be released on parole prior to execution of the parole agreement. The parole agreement will contain the conditions of parole and the parolee’s reporting instructions.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40.10(3)</w:t>
      </w:r>
      <w:r>
        <w:rPr>
          <w:rFonts w:ascii="Times New Roman" w:hAnsi="Times New Roman"/>
          <w:b w:val="false"/>
          <w:i w:val="false"/>
          <w:color w:val="000000"/>
          <w:sz w:val="24"/>
        </w:rPr>
        <w:t> </w:t>
      </w:r>
      <w:r>
        <w:rPr>
          <w:rFonts w:ascii="Times New Roman" w:hAnsi="Times New Roman"/>
          <w:b w:val="false"/>
          <w:i/>
          <w:color w:val="000000"/>
          <w:sz w:val="24"/>
        </w:rPr>
        <w:t xml:space="preserve">Delivery of services. </w:t>
      </w:r>
      <w:r>
        <w:rPr>
          <w:rFonts w:ascii="Times New Roman" w:hAnsi="Times New Roman"/>
          <w:b w:val="false"/>
          <w:i w:val="false"/>
          <w:color w:val="000000"/>
          <w:sz w:val="24"/>
        </w:rPr>
        <w:t>The department will deliver parole services in accordance with department policy and procedures, including but not limited to:</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The administration of earned and honor time;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 xml:space="preserve">Authorization of community placement furloughs in accordance with Iowa Code section </w:t>
      </w:r>
      <w:hyperlink r:id="rId60">
        <w:r>
          <w:rPr>
            <w:rStyle w:val="Hyperlink"/>
            <w:rFonts w:ascii="Times New Roman" w:hAnsi="Times New Roman"/>
            <w:b w:val="false"/>
            <w:i w:val="false"/>
            <w:color w:val="000000"/>
            <w:sz w:val="24"/>
          </w:rPr>
          <w:t>904.108(2)</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 xml:space="preserve">Provision of clothing, transportation, and money in accordance with Iowa Code section </w:t>
      </w:r>
      <w:hyperlink r:id="rId61">
        <w:r>
          <w:rPr>
            <w:rStyle w:val="Hyperlink"/>
            <w:rFonts w:ascii="Times New Roman" w:hAnsi="Times New Roman"/>
            <w:b w:val="false"/>
            <w:i w:val="false"/>
            <w:color w:val="000000"/>
            <w:sz w:val="24"/>
          </w:rPr>
          <w:t>906.9</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Availability of emergency medical care and response to sudden illness or accidents;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w:t>
      </w:r>
      <w:r>
        <w:rPr>
          <w:rFonts w:ascii="Times New Roman" w:hAnsi="Times New Roman"/>
          <w:b w:val="false"/>
          <w:i w:val="false"/>
          <w:color w:val="000000"/>
          <w:sz w:val="24"/>
        </w:rPr>
        <w:t>  </w:t>
      </w:r>
      <w:r>
        <w:rPr>
          <w:rFonts w:ascii="Times New Roman" w:hAnsi="Times New Roman"/>
          <w:b w:val="false"/>
          <w:i w:val="false"/>
          <w:color w:val="000000"/>
          <w:sz w:val="24"/>
        </w:rPr>
        <w:t xml:space="preserve">Establishment of a grievance process with notice provided in accordance with rule </w:t>
      </w:r>
      <w:hyperlink r:id="rId62">
        <w:r>
          <w:rPr>
            <w:rStyle w:val="Hyperlink"/>
            <w:rFonts w:ascii="Times New Roman" w:hAnsi="Times New Roman"/>
            <w:b w:val="false"/>
            <w:i w:val="false"/>
            <w:color w:val="000000"/>
            <w:sz w:val="24"/>
          </w:rPr>
          <w:t>201—40.2</w:t>
        </w:r>
      </w:hyperlink>
      <w:r>
        <w:rPr>
          <w:rFonts w:ascii="Times New Roman" w:hAnsi="Times New Roman"/>
          <w:b w:val="false"/>
          <w:i w:val="false"/>
          <w:color w:val="000000"/>
          <w:sz w:val="24"/>
        </w:rPr>
        <w:t>(904); and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f.</w:t>
      </w:r>
      <w:r>
        <w:rPr>
          <w:rFonts w:ascii="Times New Roman" w:hAnsi="Times New Roman"/>
          <w:b w:val="false"/>
          <w:i w:val="false"/>
          <w:color w:val="000000"/>
          <w:sz w:val="24"/>
        </w:rPr>
        <w:t>  </w:t>
      </w:r>
      <w:r>
        <w:rPr>
          <w:rFonts w:ascii="Times New Roman" w:hAnsi="Times New Roman"/>
          <w:b w:val="false"/>
          <w:i w:val="false"/>
          <w:color w:val="000000"/>
          <w:sz w:val="24"/>
        </w:rPr>
        <w:t xml:space="preserve">Development of a restitution plan of payment in accordance with Iowa Code chapter </w:t>
      </w:r>
      <w:hyperlink r:id="rId63">
        <w:r>
          <w:rPr>
            <w:rStyle w:val="Hyperlink"/>
            <w:rFonts w:ascii="Times New Roman" w:hAnsi="Times New Roman"/>
            <w:b w:val="false"/>
            <w:i w:val="false"/>
            <w:color w:val="000000"/>
            <w:sz w:val="24"/>
          </w:rPr>
          <w:t>910</w:t>
        </w:r>
      </w:hyperlink>
      <w:r>
        <w:rPr>
          <w:rFonts w:ascii="Times New Roman" w:hAnsi="Times New Roman"/>
          <w:b w:val="false"/>
          <w:i w:val="false"/>
          <w:color w:val="000000"/>
          <w:sz w:val="24"/>
        </w:rPr>
        <w:t xml:space="preserve"> and rule </w:t>
      </w:r>
      <w:hyperlink r:id="rId64">
        <w:r>
          <w:rPr>
            <w:rStyle w:val="Hyperlink"/>
            <w:rFonts w:ascii="Times New Roman" w:hAnsi="Times New Roman"/>
            <w:b w:val="false"/>
            <w:i w:val="false"/>
            <w:color w:val="000000"/>
            <w:sz w:val="24"/>
          </w:rPr>
          <w:t>201—40.5</w:t>
        </w:r>
      </w:hyperlink>
      <w:r>
        <w:rPr>
          <w:rFonts w:ascii="Times New Roman" w:hAnsi="Times New Roman"/>
          <w:b w:val="false"/>
          <w:i w:val="false"/>
          <w:color w:val="000000"/>
          <w:sz w:val="24"/>
        </w:rPr>
        <w:t>(904,907,910).</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40.10(4)</w:t>
      </w:r>
      <w:r>
        <w:rPr>
          <w:rFonts w:ascii="Times New Roman" w:hAnsi="Times New Roman"/>
          <w:b w:val="false"/>
          <w:i w:val="false"/>
          <w:color w:val="000000"/>
          <w:sz w:val="24"/>
        </w:rPr>
        <w:t> </w:t>
      </w:r>
      <w:r>
        <w:rPr>
          <w:rFonts w:ascii="Times New Roman" w:hAnsi="Times New Roman"/>
          <w:b w:val="false"/>
          <w:i/>
          <w:color w:val="000000"/>
          <w:sz w:val="24"/>
        </w:rPr>
        <w:t xml:space="preserve">Parole violations.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 xml:space="preserve">The department may report violations of parole conditions to the board of parole in accordance with board requirements set forth in rules </w:t>
      </w:r>
      <w:hyperlink r:id="rId65">
        <w:r>
          <w:rPr>
            <w:rStyle w:val="Hyperlink"/>
            <w:rFonts w:ascii="Times New Roman" w:hAnsi="Times New Roman"/>
            <w:b w:val="false"/>
            <w:i w:val="false"/>
            <w:color w:val="000000"/>
            <w:sz w:val="24"/>
          </w:rPr>
          <w:t>205—11.5</w:t>
        </w:r>
      </w:hyperlink>
      <w:r>
        <w:rPr>
          <w:rFonts w:ascii="Times New Roman" w:hAnsi="Times New Roman"/>
          <w:b w:val="false"/>
          <w:i w:val="false"/>
          <w:color w:val="000000"/>
          <w:sz w:val="24"/>
        </w:rPr>
        <w:t>(908) and </w:t>
      </w:r>
      <w:hyperlink r:id="rId66">
        <w:r>
          <w:rPr>
            <w:rStyle w:val="Hyperlink"/>
            <w:rFonts w:ascii="Times New Roman" w:hAnsi="Times New Roman"/>
            <w:b w:val="false"/>
            <w:i w:val="false"/>
            <w:color w:val="000000"/>
            <w:sz w:val="24"/>
          </w:rPr>
          <w:t>205—11.6</w:t>
        </w:r>
      </w:hyperlink>
      <w:r>
        <w:rPr>
          <w:rFonts w:ascii="Times New Roman" w:hAnsi="Times New Roman"/>
          <w:b w:val="false"/>
          <w:i w:val="false"/>
          <w:color w:val="000000"/>
          <w:sz w:val="24"/>
        </w:rPr>
        <w:t>(908).</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 xml:space="preserve">With supervisory approval, a parole officer may arrest a parolee when there is probable cause to believe a parole violation has occurred that may result in revocation. All actions of the arresting agent will be in accordance with Iowa Code sections </w:t>
      </w:r>
      <w:hyperlink r:id="rId67">
        <w:r>
          <w:rPr>
            <w:rStyle w:val="Hyperlink"/>
            <w:rFonts w:ascii="Times New Roman" w:hAnsi="Times New Roman"/>
            <w:b w:val="false"/>
            <w:i w:val="false"/>
            <w:color w:val="000000"/>
            <w:sz w:val="24"/>
          </w:rPr>
          <w:t>908.1</w:t>
        </w:r>
      </w:hyperlink>
      <w:r>
        <w:rPr>
          <w:rFonts w:ascii="Times New Roman" w:hAnsi="Times New Roman"/>
          <w:b w:val="false"/>
          <w:i w:val="false"/>
          <w:color w:val="000000"/>
          <w:sz w:val="24"/>
        </w:rPr>
        <w:t xml:space="preserve"> and </w:t>
      </w:r>
      <w:hyperlink r:id="rId68">
        <w:r>
          <w:rPr>
            <w:rStyle w:val="Hyperlink"/>
            <w:rFonts w:ascii="Times New Roman" w:hAnsi="Times New Roman"/>
            <w:b w:val="false"/>
            <w:i w:val="false"/>
            <w:color w:val="000000"/>
            <w:sz w:val="24"/>
          </w:rPr>
          <w:t>908.2</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When a parolee is believed to have absconded, a preliminary parole violation filing will be submitted and a warrant for arrest requested.</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40.10(5)</w:t>
      </w:r>
      <w:r>
        <w:rPr>
          <w:rFonts w:ascii="Times New Roman" w:hAnsi="Times New Roman"/>
          <w:b w:val="false"/>
          <w:i w:val="false"/>
          <w:color w:val="000000"/>
          <w:sz w:val="24"/>
        </w:rPr>
        <w:t> </w:t>
      </w:r>
      <w:r>
        <w:rPr>
          <w:rFonts w:ascii="Times New Roman" w:hAnsi="Times New Roman"/>
          <w:b w:val="false"/>
          <w:i/>
          <w:color w:val="000000"/>
          <w:sz w:val="24"/>
        </w:rPr>
        <w:t xml:space="preserve">Voluntary return to institution. </w:t>
      </w:r>
      <w:r>
        <w:rPr>
          <w:rFonts w:ascii="Times New Roman" w:hAnsi="Times New Roman"/>
          <w:b w:val="false"/>
          <w:i w:val="false"/>
          <w:color w:val="000000"/>
          <w:sz w:val="24"/>
        </w:rPr>
        <w:t>A parolee may voluntarily return to a department institution for treatment or training for a period not to exceed 90 days upon approval of a voluntary return agreement by the district department, institution warden, and parolee, and following a hearing before a parole board administrative law judge.</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40.10(6)</w:t>
      </w:r>
      <w:r>
        <w:rPr>
          <w:rFonts w:ascii="Times New Roman" w:hAnsi="Times New Roman"/>
          <w:b w:val="false"/>
          <w:i w:val="false"/>
          <w:color w:val="000000"/>
          <w:sz w:val="24"/>
        </w:rPr>
        <w:t> </w:t>
      </w:r>
      <w:r>
        <w:rPr>
          <w:rFonts w:ascii="Times New Roman" w:hAnsi="Times New Roman"/>
          <w:b w:val="false"/>
          <w:i/>
          <w:color w:val="000000"/>
          <w:sz w:val="24"/>
        </w:rPr>
        <w:t xml:space="preserve">Discharge from parole. </w:t>
      </w:r>
      <w:r>
        <w:rPr>
          <w:rFonts w:ascii="Times New Roman" w:hAnsi="Times New Roman"/>
          <w:b w:val="false"/>
          <w:i w:val="false"/>
          <w:color w:val="000000"/>
          <w:sz w:val="24"/>
        </w:rPr>
        <w:t xml:space="preserve">Discharge from parole supervision will be determined and administered in accordance with department policy and Iowa Code section </w:t>
      </w:r>
      <w:hyperlink r:id="rId69">
        <w:r>
          <w:rPr>
            <w:rStyle w:val="Hyperlink"/>
            <w:rFonts w:ascii="Times New Roman" w:hAnsi="Times New Roman"/>
            <w:b w:val="false"/>
            <w:i w:val="false"/>
            <w:color w:val="000000"/>
            <w:sz w:val="24"/>
          </w:rPr>
          <w:t>906.15</w:t>
        </w:r>
      </w:hyperlink>
      <w:r>
        <w:rPr>
          <w:rFonts w:ascii="Times New Roman" w:hAnsi="Times New Roman"/>
          <w:b w:val="false"/>
          <w:i w:val="false"/>
          <w:color w:val="000000"/>
          <w:sz w:val="24"/>
        </w:rPr>
        <w:t xml:space="preserve"> and requirements set forth in </w:t>
      </w:r>
      <w:hyperlink r:id="rId70">
        <w:r>
          <w:rPr>
            <w:rStyle w:val="Hyperlink"/>
            <w:rFonts w:ascii="Times New Roman" w:hAnsi="Times New Roman"/>
            <w:b w:val="false"/>
            <w:i w:val="false"/>
            <w:color w:val="000000"/>
            <w:sz w:val="24"/>
          </w:rPr>
          <w:t>205—Chapter 12</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40.10(7)</w:t>
      </w:r>
      <w:r>
        <w:rPr>
          <w:rFonts w:ascii="Times New Roman" w:hAnsi="Times New Roman"/>
          <w:b w:val="false"/>
          <w:i w:val="false"/>
          <w:color w:val="000000"/>
          <w:sz w:val="24"/>
        </w:rPr>
        <w:t> </w:t>
      </w:r>
      <w:r>
        <w:rPr>
          <w:rFonts w:ascii="Times New Roman" w:hAnsi="Times New Roman"/>
          <w:b w:val="false"/>
          <w:i/>
          <w:color w:val="000000"/>
          <w:sz w:val="24"/>
        </w:rPr>
        <w:t xml:space="preserve">Supervision enrollment fee. </w:t>
      </w:r>
      <w:r>
        <w:rPr>
          <w:rFonts w:ascii="Times New Roman" w:hAnsi="Times New Roman"/>
          <w:b w:val="false"/>
          <w:i w:val="false"/>
          <w:color w:val="000000"/>
          <w:sz w:val="24"/>
        </w:rPr>
        <w:t xml:space="preserve">The department will have policies and procedures governing the preparation, submission, review, modification, collection and retention of supervision enrollment fees, including the waiver of fees for persons determined unable to pay, in accordance with Iowa Code section </w:t>
      </w:r>
      <w:hyperlink r:id="rId71">
        <w:r>
          <w:rPr>
            <w:rStyle w:val="Hyperlink"/>
            <w:rFonts w:ascii="Times New Roman" w:hAnsi="Times New Roman"/>
            <w:b w:val="false"/>
            <w:i w:val="false"/>
            <w:color w:val="000000"/>
            <w:sz w:val="24"/>
          </w:rPr>
          <w:t>904.912</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xml:space="preserve">This rule is intended to implement Iowa Code sections </w:t>
      </w:r>
      <w:hyperlink r:id="rId72">
        <w:r>
          <w:rPr>
            <w:rStyle w:val="Hyperlink"/>
            <w:rFonts w:ascii="Times New Roman" w:hAnsi="Times New Roman"/>
            <w:b w:val="false"/>
            <w:i w:val="false"/>
            <w:color w:val="000000"/>
            <w:sz w:val="24"/>
          </w:rPr>
          <w:t>904.108</w:t>
        </w:r>
      </w:hyperlink>
      <w:r>
        <w:rPr>
          <w:rFonts w:ascii="Times New Roman" w:hAnsi="Times New Roman"/>
          <w:b w:val="false"/>
          <w:i w:val="false"/>
          <w:color w:val="000000"/>
          <w:sz w:val="24"/>
        </w:rPr>
        <w:t xml:space="preserve">, </w:t>
      </w:r>
      <w:hyperlink r:id="rId73">
        <w:r>
          <w:rPr>
            <w:rStyle w:val="Hyperlink"/>
            <w:rFonts w:ascii="Times New Roman" w:hAnsi="Times New Roman"/>
            <w:b w:val="false"/>
            <w:i w:val="false"/>
            <w:color w:val="000000"/>
            <w:sz w:val="24"/>
          </w:rPr>
          <w:t>904.912</w:t>
        </w:r>
      </w:hyperlink>
      <w:r>
        <w:rPr>
          <w:rFonts w:ascii="Times New Roman" w:hAnsi="Times New Roman"/>
          <w:b w:val="false"/>
          <w:i w:val="false"/>
          <w:color w:val="000000"/>
          <w:sz w:val="24"/>
        </w:rPr>
        <w:t xml:space="preserve">, </w:t>
      </w:r>
      <w:hyperlink r:id="rId74">
        <w:r>
          <w:rPr>
            <w:rStyle w:val="Hyperlink"/>
            <w:rFonts w:ascii="Times New Roman" w:hAnsi="Times New Roman"/>
            <w:b w:val="false"/>
            <w:i w:val="false"/>
            <w:color w:val="000000"/>
            <w:sz w:val="24"/>
          </w:rPr>
          <w:t>906.9</w:t>
        </w:r>
      </w:hyperlink>
      <w:r>
        <w:rPr>
          <w:rFonts w:ascii="Times New Roman" w:hAnsi="Times New Roman"/>
          <w:b w:val="false"/>
          <w:i w:val="false"/>
          <w:color w:val="000000"/>
          <w:sz w:val="24"/>
        </w:rPr>
        <w:t xml:space="preserve">, </w:t>
      </w:r>
      <w:hyperlink r:id="rId75">
        <w:r>
          <w:rPr>
            <w:rStyle w:val="Hyperlink"/>
            <w:rFonts w:ascii="Times New Roman" w:hAnsi="Times New Roman"/>
            <w:b w:val="false"/>
            <w:i w:val="false"/>
            <w:color w:val="000000"/>
            <w:sz w:val="24"/>
          </w:rPr>
          <w:t>906.11</w:t>
        </w:r>
      </w:hyperlink>
      <w:r>
        <w:rPr>
          <w:rFonts w:ascii="Times New Roman" w:hAnsi="Times New Roman"/>
          <w:b w:val="false"/>
          <w:i w:val="false"/>
          <w:color w:val="000000"/>
          <w:sz w:val="24"/>
        </w:rPr>
        <w:t xml:space="preserve">, </w:t>
      </w:r>
      <w:hyperlink r:id="rId76">
        <w:r>
          <w:rPr>
            <w:rStyle w:val="Hyperlink"/>
            <w:rFonts w:ascii="Times New Roman" w:hAnsi="Times New Roman"/>
            <w:b w:val="false"/>
            <w:i w:val="false"/>
            <w:color w:val="000000"/>
            <w:sz w:val="24"/>
          </w:rPr>
          <w:t>906.15</w:t>
        </w:r>
      </w:hyperlink>
      <w:r>
        <w:rPr>
          <w:rFonts w:ascii="Times New Roman" w:hAnsi="Times New Roman"/>
          <w:b w:val="false"/>
          <w:i w:val="false"/>
          <w:color w:val="000000"/>
          <w:sz w:val="24"/>
        </w:rPr>
        <w:t xml:space="preserve">, </w:t>
      </w:r>
      <w:hyperlink r:id="rId77">
        <w:r>
          <w:rPr>
            <w:rStyle w:val="Hyperlink"/>
            <w:rFonts w:ascii="Times New Roman" w:hAnsi="Times New Roman"/>
            <w:b w:val="false"/>
            <w:i w:val="false"/>
            <w:color w:val="000000"/>
            <w:sz w:val="24"/>
          </w:rPr>
          <w:t>906.16</w:t>
        </w:r>
      </w:hyperlink>
      <w:r>
        <w:rPr>
          <w:rFonts w:ascii="Times New Roman" w:hAnsi="Times New Roman"/>
          <w:b w:val="false"/>
          <w:i w:val="false"/>
          <w:color w:val="000000"/>
          <w:sz w:val="24"/>
        </w:rPr>
        <w:t>, </w:t>
      </w:r>
      <w:hyperlink r:id="rId78">
        <w:r>
          <w:rPr>
            <w:rStyle w:val="Hyperlink"/>
            <w:rFonts w:ascii="Times New Roman" w:hAnsi="Times New Roman"/>
            <w:b w:val="false"/>
            <w:i w:val="false"/>
            <w:color w:val="000000"/>
            <w:sz w:val="24"/>
          </w:rPr>
          <w:t>908.1</w:t>
        </w:r>
      </w:hyperlink>
      <w:r>
        <w:rPr>
          <w:rFonts w:ascii="Times New Roman" w:hAnsi="Times New Roman"/>
          <w:b w:val="false"/>
          <w:i w:val="false"/>
          <w:color w:val="000000"/>
          <w:sz w:val="24"/>
        </w:rPr>
        <w:t xml:space="preserve">, </w:t>
      </w:r>
      <w:hyperlink r:id="rId79">
        <w:r>
          <w:rPr>
            <w:rStyle w:val="Hyperlink"/>
            <w:rFonts w:ascii="Times New Roman" w:hAnsi="Times New Roman"/>
            <w:b w:val="false"/>
            <w:i w:val="false"/>
            <w:color w:val="000000"/>
            <w:sz w:val="24"/>
          </w:rPr>
          <w:t>908.2</w:t>
        </w:r>
      </w:hyperlink>
      <w:r>
        <w:rPr>
          <w:rFonts w:ascii="Times New Roman" w:hAnsi="Times New Roman"/>
          <w:b w:val="false"/>
          <w:i w:val="false"/>
          <w:color w:val="000000"/>
          <w:sz w:val="24"/>
        </w:rPr>
        <w:t xml:space="preserve"> and </w:t>
      </w:r>
      <w:hyperlink r:id="rId80">
        <w:r>
          <w:rPr>
            <w:rStyle w:val="Hyperlink"/>
            <w:rFonts w:ascii="Times New Roman" w:hAnsi="Times New Roman"/>
            <w:b w:val="false"/>
            <w:i w:val="false"/>
            <w:color w:val="000000"/>
            <w:sz w:val="24"/>
          </w:rPr>
          <w:t>910.5</w:t>
        </w:r>
      </w:hyperlink>
      <w:r>
        <w:rPr>
          <w:rFonts w:ascii="Times New Roman" w:hAnsi="Times New Roman"/>
          <w:b w:val="false"/>
          <w:i w:val="false"/>
          <w:color w:val="000000"/>
          <w:sz w:val="24"/>
        </w:rPr>
        <w:t>.</w:t>
      </w:r>
    </w:p>
    <w:p>
      <w:pPr>
        <w:pBdr>
          <w:top w:space="10"/>
        </w:pBdr>
        <w:spacing w:before="0" w:after="0" w:line="480"/>
        <w:ind w:left="120"/>
        <w:jc w:val="center"/>
      </w:pPr>
      <w:r>
        <w:rPr>
          <w:rFonts w:ascii="Times New Roman" w:hAnsi="Times New Roman"/>
          <w:b w:val="false"/>
          <w:i w:val="false"/>
          <w:color w:val="000000"/>
          <w:sz w:val="16"/>
        </w:rPr>
        <w:t>DIVISION V</w:t>
      </w:r>
    </w:p>
    <w:p>
      <w:pPr>
        <w:pBdr>
          <w:bottom w:space="10"/>
        </w:pBdr>
        <w:spacing w:before="0" w:after="0" w:line="480"/>
        <w:ind w:left="120"/>
        <w:jc w:val="center"/>
      </w:pPr>
      <w:r>
        <w:rPr>
          <w:rFonts w:ascii="Times New Roman" w:hAnsi="Times New Roman"/>
          <w:b w:val="false"/>
          <w:i w:val="false"/>
          <w:color w:val="000000"/>
          <w:sz w:val="16"/>
        </w:rPr>
        <w:t>RESIDENTIAL FACILITIES</w:t>
      </w:r>
    </w:p>
    <w:p>
      <w:pPr>
        <w:spacing w:before="0" w:after="0" w:line="480"/>
        <w:ind w:left="120"/>
        <w:jc w:val="both"/>
      </w:pPr>
      <w:r>
        <w:rPr>
          <w:rFonts w:ascii="Times New Roman" w:hAnsi="Times New Roman"/>
          <w:b/>
          <w:i w:val="false"/>
          <w:color w:val="000000"/>
          <w:sz w:val="24"/>
        </w:rPr>
        <w:t>201—40.11</w:t>
      </w:r>
      <w:r>
        <w:rPr>
          <w:rFonts w:ascii="Times New Roman" w:hAnsi="Times New Roman"/>
          <w:b/>
          <w:i w:val="false"/>
          <w:color w:val="000000"/>
          <w:sz w:val="24"/>
        </w:rPr>
        <w:t xml:space="preserve">(904,907,908,910) </w:t>
      </w:r>
      <w:r>
        <w:rPr>
          <w:rFonts w:ascii="Times New Roman" w:hAnsi="Times New Roman"/>
          <w:b/>
          <w:i w:val="false"/>
          <w:color w:val="000000"/>
          <w:sz w:val="24"/>
        </w:rPr>
        <w:t xml:space="preserve">Residential facilities.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40.11(1)</w:t>
      </w:r>
      <w:r>
        <w:rPr>
          <w:rFonts w:ascii="Times New Roman" w:hAnsi="Times New Roman"/>
          <w:b w:val="false"/>
          <w:i w:val="false"/>
          <w:color w:val="000000"/>
          <w:sz w:val="24"/>
        </w:rPr>
        <w:t> </w:t>
      </w:r>
      <w:r>
        <w:rPr>
          <w:rFonts w:ascii="Times New Roman" w:hAnsi="Times New Roman"/>
          <w:b w:val="false"/>
          <w:i w:val="false"/>
          <w:color w:val="000000"/>
          <w:sz w:val="24"/>
        </w:rPr>
        <w:t>The department will ensure the admission of residents in accordance with the correctional continuum, court order, release order from the board of parole, or purchase of service agreement or contract with federal correctional agencies.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40.11(2)</w:t>
      </w:r>
      <w:r>
        <w:rPr>
          <w:rFonts w:ascii="Times New Roman" w:hAnsi="Times New Roman"/>
          <w:b w:val="false"/>
          <w:i w:val="false"/>
          <w:color w:val="000000"/>
          <w:sz w:val="24"/>
        </w:rPr>
        <w:t> </w:t>
      </w:r>
      <w:r>
        <w:rPr>
          <w:rFonts w:ascii="Times New Roman" w:hAnsi="Times New Roman"/>
          <w:b w:val="false"/>
          <w:i w:val="false"/>
          <w:color w:val="000000"/>
          <w:sz w:val="24"/>
        </w:rPr>
        <w:t>At intake, facility staff will discuss with each resident program goals, services available, facility rules governing conduct, disciplinary procedures, client fiscal management, residents’ rights, communication privileges, and all federal Prison Rape Elimination Act (PREA) orientation and education standards and will obtain written documentation from the resident that these matters were discussed.</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40.11(3)</w:t>
      </w:r>
      <w:r>
        <w:rPr>
          <w:rFonts w:ascii="Times New Roman" w:hAnsi="Times New Roman"/>
          <w:b w:val="false"/>
          <w:i w:val="false"/>
          <w:color w:val="000000"/>
          <w:sz w:val="24"/>
        </w:rPr>
        <w:t> </w:t>
      </w:r>
      <w:r>
        <w:rPr>
          <w:rFonts w:ascii="Times New Roman" w:hAnsi="Times New Roman"/>
          <w:b w:val="false"/>
          <w:i w:val="false"/>
          <w:color w:val="000000"/>
          <w:sz w:val="24"/>
        </w:rPr>
        <w:t>Facility staff will know the whereabouts of all residents and ensure that staff are available to residents 24 hours a day.</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40.11(4)</w:t>
      </w:r>
      <w:r>
        <w:rPr>
          <w:rFonts w:ascii="Times New Roman" w:hAnsi="Times New Roman"/>
          <w:b w:val="false"/>
          <w:i w:val="false"/>
          <w:color w:val="000000"/>
          <w:sz w:val="24"/>
        </w:rPr>
        <w:t> </w:t>
      </w:r>
      <w:r>
        <w:rPr>
          <w:rFonts w:ascii="Times New Roman" w:hAnsi="Times New Roman"/>
          <w:b w:val="false"/>
          <w:i w:val="false"/>
          <w:color w:val="000000"/>
          <w:sz w:val="24"/>
        </w:rPr>
        <w:t>Provision and maintenance of a safe environment for residents will occur, including compliance with applicable fire, building, health, and safety requirements.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40.11(5)</w:t>
      </w:r>
      <w:r>
        <w:rPr>
          <w:rFonts w:ascii="Times New Roman" w:hAnsi="Times New Roman"/>
          <w:b w:val="false"/>
          <w:i w:val="false"/>
          <w:color w:val="000000"/>
          <w:sz w:val="24"/>
        </w:rPr>
        <w:t> </w:t>
      </w:r>
      <w:r>
        <w:rPr>
          <w:rFonts w:ascii="Times New Roman" w:hAnsi="Times New Roman"/>
          <w:b w:val="false"/>
          <w:i w:val="false"/>
          <w:color w:val="000000"/>
          <w:sz w:val="24"/>
        </w:rPr>
        <w:t>The department will maintain policies and procedures governing residential facilities, including but not limited to:</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Inventorying and documentation of resident property.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Facility rules, sanctions, appeal procedures, and compliance with applicable federal PREA standards.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 xml:space="preserve">A grievance process applicable to activities other than disciplinary action in accordance with rule </w:t>
      </w:r>
      <w:hyperlink r:id="rId81">
        <w:r>
          <w:rPr>
            <w:rStyle w:val="Hyperlink"/>
            <w:rFonts w:ascii="Times New Roman" w:hAnsi="Times New Roman"/>
            <w:b w:val="false"/>
            <w:i w:val="false"/>
            <w:color w:val="000000"/>
            <w:sz w:val="24"/>
          </w:rPr>
          <w:t>201—40.2</w:t>
        </w:r>
      </w:hyperlink>
      <w:r>
        <w:rPr>
          <w:rFonts w:ascii="Times New Roman" w:hAnsi="Times New Roman"/>
          <w:b w:val="false"/>
          <w:i w:val="false"/>
          <w:color w:val="000000"/>
          <w:sz w:val="24"/>
        </w:rPr>
        <w:t>(904).</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Use of physical force by facility staff, including reporting requirements, in accordance with statutes or regulations.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w:t>
      </w:r>
      <w:r>
        <w:rPr>
          <w:rFonts w:ascii="Times New Roman" w:hAnsi="Times New Roman"/>
          <w:b w:val="false"/>
          <w:i w:val="false"/>
          <w:color w:val="000000"/>
          <w:sz w:val="24"/>
        </w:rPr>
        <w:t>  </w:t>
      </w:r>
      <w:r>
        <w:rPr>
          <w:rFonts w:ascii="Times New Roman" w:hAnsi="Times New Roman"/>
          <w:b w:val="false"/>
          <w:i w:val="false"/>
          <w:color w:val="000000"/>
          <w:sz w:val="24"/>
        </w:rPr>
        <w:t>Searching of residents and their property, and seizure of property or contraband.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f.</w:t>
      </w:r>
      <w:r>
        <w:rPr>
          <w:rFonts w:ascii="Times New Roman" w:hAnsi="Times New Roman"/>
          <w:b w:val="false"/>
          <w:i w:val="false"/>
          <w:color w:val="000000"/>
          <w:sz w:val="24"/>
        </w:rPr>
        <w:t>  </w:t>
      </w:r>
      <w:r>
        <w:rPr>
          <w:rFonts w:ascii="Times New Roman" w:hAnsi="Times New Roman"/>
          <w:b w:val="false"/>
          <w:i w:val="false"/>
          <w:color w:val="000000"/>
          <w:sz w:val="24"/>
        </w:rPr>
        <w:t>Emergency medical care and response to sudden illness or accidents.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g.</w:t>
      </w:r>
      <w:r>
        <w:rPr>
          <w:rFonts w:ascii="Times New Roman" w:hAnsi="Times New Roman"/>
          <w:b w:val="false"/>
          <w:i w:val="false"/>
          <w:color w:val="000000"/>
          <w:sz w:val="24"/>
        </w:rPr>
        <w:t>  </w:t>
      </w:r>
      <w:r>
        <w:rPr>
          <w:rFonts w:ascii="Times New Roman" w:hAnsi="Times New Roman"/>
          <w:b w:val="false"/>
          <w:i w:val="false"/>
          <w:color w:val="000000"/>
          <w:sz w:val="24"/>
        </w:rPr>
        <w:t>Handling and administration of prescription and nonprescription medications.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h.</w:t>
      </w:r>
      <w:r>
        <w:rPr>
          <w:rFonts w:ascii="Times New Roman" w:hAnsi="Times New Roman"/>
          <w:b w:val="false"/>
          <w:i w:val="false"/>
          <w:color w:val="000000"/>
          <w:sz w:val="24"/>
        </w:rPr>
        <w:t>  </w:t>
      </w:r>
      <w:r>
        <w:rPr>
          <w:rFonts w:ascii="Times New Roman" w:hAnsi="Times New Roman"/>
          <w:b w:val="false"/>
          <w:i w:val="false"/>
          <w:color w:val="000000"/>
          <w:sz w:val="24"/>
        </w:rPr>
        <w:t>Provision of meals meeting recognized minimum daily nutritional requirements and, if food service is provided, compliance with applicable health and safety requirements for food service operations.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i.</w:t>
      </w:r>
      <w:r>
        <w:rPr>
          <w:rFonts w:ascii="Times New Roman" w:hAnsi="Times New Roman"/>
          <w:b w:val="false"/>
          <w:i w:val="false"/>
          <w:color w:val="000000"/>
          <w:sz w:val="24"/>
        </w:rPr>
        <w:t>  </w:t>
      </w:r>
      <w:r>
        <w:rPr>
          <w:rFonts w:ascii="Times New Roman" w:hAnsi="Times New Roman"/>
          <w:b w:val="false"/>
          <w:i w:val="false"/>
          <w:color w:val="000000"/>
          <w:sz w:val="24"/>
        </w:rPr>
        <w:t>Procedures for recommending removal or revocation of residential placement consistent with risk reduction.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j.</w:t>
      </w:r>
      <w:r>
        <w:rPr>
          <w:rFonts w:ascii="Times New Roman" w:hAnsi="Times New Roman"/>
          <w:b w:val="false"/>
          <w:i w:val="false"/>
          <w:color w:val="000000"/>
          <w:sz w:val="24"/>
        </w:rPr>
        <w:t>  </w:t>
      </w:r>
      <w:r>
        <w:rPr>
          <w:rFonts w:ascii="Times New Roman" w:hAnsi="Times New Roman"/>
          <w:b w:val="false"/>
          <w:i w:val="false"/>
          <w:color w:val="000000"/>
          <w:sz w:val="24"/>
        </w:rPr>
        <w:t>Procedures for requesting discharge from a residential facility when a resident has met court requirements, no longer poses a threat to the community, or cannot benefit substantially from further supervision.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k.</w:t>
      </w:r>
      <w:r>
        <w:rPr>
          <w:rFonts w:ascii="Times New Roman" w:hAnsi="Times New Roman"/>
          <w:b w:val="false"/>
          <w:i w:val="false"/>
          <w:color w:val="000000"/>
          <w:sz w:val="24"/>
        </w:rPr>
        <w:t>  </w:t>
      </w:r>
      <w:r>
        <w:rPr>
          <w:rFonts w:ascii="Times New Roman" w:hAnsi="Times New Roman"/>
          <w:b w:val="false"/>
          <w:i w:val="false"/>
          <w:color w:val="000000"/>
          <w:sz w:val="24"/>
        </w:rPr>
        <w:t xml:space="preserve">Use of the statewide approved case management system and a statewide validated risk/needs assessment instrument to inform supervision and case planning consistent with the risk-need-responsivity model and core correctional practices in accordance with rule </w:t>
      </w:r>
      <w:hyperlink r:id="rId82">
        <w:r>
          <w:rPr>
            <w:rStyle w:val="Hyperlink"/>
            <w:rFonts w:ascii="Times New Roman" w:hAnsi="Times New Roman"/>
            <w:b w:val="false"/>
            <w:i w:val="false"/>
            <w:color w:val="000000"/>
            <w:sz w:val="24"/>
          </w:rPr>
          <w:t>201—40.4</w:t>
        </w:r>
      </w:hyperlink>
      <w:r>
        <w:rPr>
          <w:rFonts w:ascii="Times New Roman" w:hAnsi="Times New Roman"/>
          <w:b w:val="false"/>
          <w:i w:val="false"/>
          <w:color w:val="000000"/>
          <w:sz w:val="24"/>
        </w:rPr>
        <w:t>(904).</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l.</w:t>
      </w:r>
      <w:r>
        <w:rPr>
          <w:rFonts w:ascii="Times New Roman" w:hAnsi="Times New Roman"/>
          <w:b w:val="false"/>
          <w:i w:val="false"/>
          <w:color w:val="000000"/>
          <w:sz w:val="24"/>
        </w:rPr>
        <w:t>  </w:t>
      </w:r>
      <w:r>
        <w:rPr>
          <w:rFonts w:ascii="Times New Roman" w:hAnsi="Times New Roman"/>
          <w:b w:val="false"/>
          <w:i w:val="false"/>
          <w:color w:val="000000"/>
          <w:sz w:val="24"/>
        </w:rPr>
        <w:t xml:space="preserve">Maintenance of an electronic case record for each resident in accordance with rule </w:t>
      </w:r>
      <w:hyperlink r:id="rId83">
        <w:r>
          <w:rPr>
            <w:rStyle w:val="Hyperlink"/>
            <w:rFonts w:ascii="Times New Roman" w:hAnsi="Times New Roman"/>
            <w:b w:val="false"/>
            <w:i w:val="false"/>
            <w:color w:val="000000"/>
            <w:sz w:val="24"/>
          </w:rPr>
          <w:t>201—40.3</w:t>
        </w:r>
      </w:hyperlink>
      <w:r>
        <w:rPr>
          <w:rFonts w:ascii="Times New Roman" w:hAnsi="Times New Roman"/>
          <w:b w:val="false"/>
          <w:i w:val="false"/>
          <w:color w:val="000000"/>
          <w:sz w:val="24"/>
        </w:rPr>
        <w:t>(904).</w:t>
      </w:r>
    </w:p>
    <w:p>
      <w:pPr>
        <w:spacing w:before="0" w:after="0" w:line="480"/>
        <w:ind w:left="120"/>
        <w:jc w:val="both"/>
      </w:pPr>
      <w:r>
        <w:rPr>
          <w:rFonts w:ascii="Times New Roman" w:hAnsi="Times New Roman"/>
          <w:b w:val="false"/>
          <w:i w:val="false"/>
          <w:color w:val="000000"/>
          <w:sz w:val="24"/>
        </w:rPr>
        <w:t xml:space="preserve">This rule is intended to implement Iowa Code section </w:t>
      </w:r>
      <w:hyperlink r:id="rId84">
        <w:r>
          <w:rPr>
            <w:rStyle w:val="Hyperlink"/>
            <w:rFonts w:ascii="Times New Roman" w:hAnsi="Times New Roman"/>
            <w:b w:val="false"/>
            <w:i w:val="false"/>
            <w:color w:val="000000"/>
            <w:sz w:val="24"/>
          </w:rPr>
          <w:t>907.3</w:t>
        </w:r>
      </w:hyperlink>
      <w:r>
        <w:rPr>
          <w:rFonts w:ascii="Times New Roman" w:hAnsi="Times New Roman"/>
          <w:b w:val="false"/>
          <w:i w:val="false"/>
          <w:color w:val="000000"/>
          <w:sz w:val="24"/>
        </w:rPr>
        <w:t xml:space="preserve"> and chapters </w:t>
      </w:r>
      <w:hyperlink r:id="rId85">
        <w:r>
          <w:rPr>
            <w:rStyle w:val="Hyperlink"/>
            <w:rFonts w:ascii="Times New Roman" w:hAnsi="Times New Roman"/>
            <w:b w:val="false"/>
            <w:i w:val="false"/>
            <w:color w:val="000000"/>
            <w:sz w:val="24"/>
          </w:rPr>
          <w:t>904</w:t>
        </w:r>
      </w:hyperlink>
      <w:r>
        <w:rPr>
          <w:rFonts w:ascii="Times New Roman" w:hAnsi="Times New Roman"/>
          <w:b w:val="false"/>
          <w:i w:val="false"/>
          <w:color w:val="000000"/>
          <w:sz w:val="24"/>
        </w:rPr>
        <w:t xml:space="preserve">, </w:t>
      </w:r>
      <w:hyperlink r:id="rId86">
        <w:r>
          <w:rPr>
            <w:rStyle w:val="Hyperlink"/>
            <w:rFonts w:ascii="Times New Roman" w:hAnsi="Times New Roman"/>
            <w:b w:val="false"/>
            <w:i w:val="false"/>
            <w:color w:val="000000"/>
            <w:sz w:val="24"/>
          </w:rPr>
          <w:t>908</w:t>
        </w:r>
      </w:hyperlink>
      <w:r>
        <w:rPr>
          <w:rFonts w:ascii="Times New Roman" w:hAnsi="Times New Roman"/>
          <w:b w:val="false"/>
          <w:i w:val="false"/>
          <w:color w:val="000000"/>
          <w:sz w:val="24"/>
        </w:rPr>
        <w:t xml:space="preserve">, and </w:t>
      </w:r>
      <w:hyperlink r:id="rId87">
        <w:r>
          <w:rPr>
            <w:rStyle w:val="Hyperlink"/>
            <w:rFonts w:ascii="Times New Roman" w:hAnsi="Times New Roman"/>
            <w:b w:val="false"/>
            <w:i w:val="false"/>
            <w:color w:val="000000"/>
            <w:sz w:val="24"/>
          </w:rPr>
          <w:t>910</w:t>
        </w:r>
      </w:hyperlink>
      <w:r>
        <w:rPr>
          <w:rFonts w:ascii="Times New Roman" w:hAnsi="Times New Roman"/>
          <w:b w:val="false"/>
          <w:i w:val="false"/>
          <w:color w:val="000000"/>
          <w:sz w:val="24"/>
        </w:rPr>
        <w:t>.</w:t>
      </w:r>
    </w:p>
    <w:p>
      <w:pPr>
        <w:pBdr>
          <w:top w:space="10"/>
        </w:pBdr>
        <w:spacing w:before="0" w:after="0" w:line="480"/>
        <w:ind w:left="120"/>
        <w:jc w:val="center"/>
      </w:pPr>
      <w:r>
        <w:rPr>
          <w:rFonts w:ascii="Times New Roman" w:hAnsi="Times New Roman"/>
          <w:b w:val="false"/>
          <w:i w:val="false"/>
          <w:color w:val="000000"/>
          <w:sz w:val="16"/>
        </w:rPr>
        <w:t>DIVISION VI</w:t>
      </w:r>
    </w:p>
    <w:p>
      <w:pPr>
        <w:pBdr>
          <w:bottom w:space="10"/>
        </w:pBdr>
        <w:spacing w:before="0" w:after="0" w:line="480"/>
        <w:ind w:left="120"/>
        <w:jc w:val="center"/>
      </w:pPr>
      <w:r>
        <w:rPr>
          <w:rFonts w:ascii="Times New Roman" w:hAnsi="Times New Roman"/>
          <w:b w:val="false"/>
          <w:i w:val="false"/>
          <w:color w:val="000000"/>
          <w:sz w:val="16"/>
        </w:rPr>
        <w:t>OWI PROGRAMS</w:t>
      </w:r>
    </w:p>
    <w:p>
      <w:pPr>
        <w:spacing w:before="0" w:after="0" w:line="480"/>
        <w:ind w:left="120"/>
        <w:jc w:val="both"/>
      </w:pPr>
      <w:r>
        <w:rPr>
          <w:rFonts w:ascii="Times New Roman" w:hAnsi="Times New Roman"/>
          <w:b/>
          <w:i w:val="false"/>
          <w:color w:val="000000"/>
          <w:sz w:val="24"/>
        </w:rPr>
        <w:t>201—40.12</w:t>
      </w:r>
      <w:r>
        <w:rPr>
          <w:rFonts w:ascii="Times New Roman" w:hAnsi="Times New Roman"/>
          <w:b/>
          <w:i w:val="false"/>
          <w:color w:val="000000"/>
          <w:sz w:val="24"/>
        </w:rPr>
        <w:t xml:space="preserve">(904,910) </w:t>
      </w:r>
      <w:r>
        <w:rPr>
          <w:rFonts w:ascii="Times New Roman" w:hAnsi="Times New Roman"/>
          <w:b/>
          <w:i w:val="false"/>
          <w:color w:val="000000"/>
          <w:sz w:val="24"/>
        </w:rPr>
        <w:t xml:space="preserve">OWI programs.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40.12(1)</w:t>
      </w:r>
      <w:r>
        <w:rPr>
          <w:rFonts w:ascii="Times New Roman" w:hAnsi="Times New Roman"/>
          <w:b w:val="false"/>
          <w:i w:val="false"/>
          <w:color w:val="000000"/>
          <w:sz w:val="24"/>
        </w:rPr>
        <w:t> </w:t>
      </w:r>
      <w:r>
        <w:rPr>
          <w:rFonts w:ascii="Times New Roman" w:hAnsi="Times New Roman"/>
          <w:b w:val="false"/>
          <w:i/>
          <w:color w:val="000000"/>
          <w:sz w:val="24"/>
        </w:rPr>
        <w:t xml:space="preserve">Applicability. </w:t>
      </w:r>
      <w:r>
        <w:rPr>
          <w:rFonts w:ascii="Times New Roman" w:hAnsi="Times New Roman"/>
          <w:b w:val="false"/>
          <w:i w:val="false"/>
          <w:color w:val="000000"/>
          <w:sz w:val="24"/>
        </w:rPr>
        <w:t xml:space="preserve">Clients convicted of an offense under Iowa Code chapter </w:t>
      </w:r>
      <w:hyperlink r:id="rId88">
        <w:r>
          <w:rPr>
            <w:rStyle w:val="Hyperlink"/>
            <w:rFonts w:ascii="Times New Roman" w:hAnsi="Times New Roman"/>
            <w:b w:val="false"/>
            <w:i w:val="false"/>
            <w:color w:val="000000"/>
            <w:sz w:val="24"/>
          </w:rPr>
          <w:t>321J</w:t>
        </w:r>
      </w:hyperlink>
      <w:r>
        <w:rPr>
          <w:rFonts w:ascii="Times New Roman" w:hAnsi="Times New Roman"/>
          <w:b w:val="false"/>
          <w:i w:val="false"/>
          <w:color w:val="000000"/>
          <w:sz w:val="24"/>
        </w:rPr>
        <w:t>, sentenced to the custody of the director of corrections, and assigned to a continuum of programming, including treatment providers, residential facilities, and institutions, will be subject to these rules and department policy governing supervision and treatment.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40.12(2)</w:t>
      </w:r>
      <w:r>
        <w:rPr>
          <w:rFonts w:ascii="Times New Roman" w:hAnsi="Times New Roman"/>
          <w:b w:val="false"/>
          <w:i w:val="false"/>
          <w:color w:val="000000"/>
          <w:sz w:val="24"/>
        </w:rPr>
        <w:t> </w:t>
      </w:r>
      <w:r>
        <w:rPr>
          <w:rFonts w:ascii="Times New Roman" w:hAnsi="Times New Roman"/>
          <w:b w:val="false"/>
          <w:i/>
          <w:color w:val="000000"/>
          <w:sz w:val="24"/>
        </w:rPr>
        <w:t xml:space="preserve">Facility selection and oversight. </w:t>
      </w:r>
      <w:r>
        <w:rPr>
          <w:rFonts w:ascii="Times New Roman" w:hAnsi="Times New Roman"/>
          <w:b w:val="false"/>
          <w:i w:val="false"/>
          <w:color w:val="000000"/>
          <w:sz w:val="24"/>
        </w:rPr>
        <w:t>The department will select appropriate facilities and treatment providers for the risk management and programming of clients. Any facility operated by or under contract with the department will comply with department policies, including all applicable federal PREA standards.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40.12(3)</w:t>
      </w:r>
      <w:r>
        <w:rPr>
          <w:rFonts w:ascii="Times New Roman" w:hAnsi="Times New Roman"/>
          <w:b w:val="false"/>
          <w:i w:val="false"/>
          <w:color w:val="000000"/>
          <w:sz w:val="24"/>
        </w:rPr>
        <w:t> </w:t>
      </w:r>
      <w:r>
        <w:rPr>
          <w:rFonts w:ascii="Times New Roman" w:hAnsi="Times New Roman"/>
          <w:b w:val="false"/>
          <w:i/>
          <w:color w:val="000000"/>
          <w:sz w:val="24"/>
        </w:rPr>
        <w:t xml:space="preserve">Administrative responsibility. </w:t>
      </w:r>
      <w:r>
        <w:rPr>
          <w:rFonts w:ascii="Times New Roman" w:hAnsi="Times New Roman"/>
          <w:b w:val="false"/>
          <w:i w:val="false"/>
          <w:color w:val="000000"/>
          <w:sz w:val="24"/>
        </w:rPr>
        <w:t>The district director is responsible for all programs and clients subject to this rule. Any change in the custody status of clients must be approved by a department official.</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40.12(4)</w:t>
      </w:r>
      <w:r>
        <w:rPr>
          <w:rFonts w:ascii="Times New Roman" w:hAnsi="Times New Roman"/>
          <w:b w:val="false"/>
          <w:i w:val="false"/>
          <w:color w:val="000000"/>
          <w:sz w:val="24"/>
        </w:rPr>
        <w:t> </w:t>
      </w:r>
      <w:r>
        <w:rPr>
          <w:rFonts w:ascii="Times New Roman" w:hAnsi="Times New Roman"/>
          <w:b w:val="false"/>
          <w:i/>
          <w:color w:val="000000"/>
          <w:sz w:val="24"/>
        </w:rPr>
        <w:t xml:space="preserve">Movement of clients.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The department will utilize standardized placement criteria founded on the presumption that assignment will be made to the least restrictive and most cost-effective component of the continuum for the purposes of risk management, substance use treatment, education, and employment. Criteria established to determine continuum assignment consists of the client’s previous criminal record, present charges and attitude toward treatment. The continuum is defined as consisting of three basic components, namely: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Incarceration until released by the board of parole or expiration of sentence,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Short-term incarceration of approximately 60 days with subsequent transfer to a community corrections OWI residential program, and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Direct placement to a community corrections residential program.</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When there is insufficient bed space in the community-based correctional program to accommodate the client, the court may order the client to be released on personal recognizance or bond, released to the supervision of the district department, or held in jail.</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Priority for placement will be based on the date of institutional admission or as soon as practical unless an exception is made by the department for special circumstances.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When a client is sentenced and ordered to department supervision and space is unavailable in a community program, or when supervision concerns arise, the district director or designee may request temporary placement at the Iowa medical and classification center (IMCC) or the Iowa correctional institution for women (ICIW), with approval by the deputy director or designee until space is available in the community program.</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w:t>
      </w:r>
      <w:r>
        <w:rPr>
          <w:rFonts w:ascii="Times New Roman" w:hAnsi="Times New Roman"/>
          <w:b w:val="false"/>
          <w:i w:val="false"/>
          <w:color w:val="000000"/>
          <w:sz w:val="24"/>
        </w:rPr>
        <w:t>  </w:t>
      </w:r>
      <w:r>
        <w:rPr>
          <w:rFonts w:ascii="Times New Roman" w:hAnsi="Times New Roman"/>
          <w:b w:val="false"/>
          <w:i w:val="false"/>
          <w:color w:val="000000"/>
          <w:sz w:val="24"/>
        </w:rPr>
        <w:t>If medical conditions prohibit program participation and community resources, including University Hospitals, are not available to sufficiently meet client needs, the client may be assigned to IMCC/ICIW for treatment until the client’s health status permits placement into a community-based correctional program.</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f.</w:t>
      </w:r>
      <w:r>
        <w:rPr>
          <w:rFonts w:ascii="Times New Roman" w:hAnsi="Times New Roman"/>
          <w:b w:val="false"/>
          <w:i w:val="false"/>
          <w:color w:val="000000"/>
          <w:sz w:val="24"/>
        </w:rPr>
        <w:t>  </w:t>
      </w:r>
      <w:r>
        <w:rPr>
          <w:rFonts w:ascii="Times New Roman" w:hAnsi="Times New Roman"/>
          <w:b w:val="false"/>
          <w:i w:val="false"/>
          <w:color w:val="000000"/>
          <w:sz w:val="24"/>
        </w:rPr>
        <w:t>Transfer of clients may be delayed by the department for security or medical reasons. Clients with active detainers or clients refusing to participate in the program may be transferred to an institution.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g.</w:t>
      </w:r>
      <w:r>
        <w:rPr>
          <w:rFonts w:ascii="Times New Roman" w:hAnsi="Times New Roman"/>
          <w:b w:val="false"/>
          <w:i w:val="false"/>
          <w:color w:val="000000"/>
          <w:sz w:val="24"/>
        </w:rPr>
        <w:t>  </w:t>
      </w:r>
      <w:r>
        <w:rPr>
          <w:rFonts w:ascii="Times New Roman" w:hAnsi="Times New Roman"/>
          <w:b w:val="false"/>
          <w:i w:val="false"/>
          <w:color w:val="000000"/>
          <w:sz w:val="24"/>
        </w:rPr>
        <w:t>Clients placed with the department will transfer out of custody to their assigned facility unless an exception is made by the department.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h.</w:t>
      </w:r>
      <w:r>
        <w:rPr>
          <w:rFonts w:ascii="Times New Roman" w:hAnsi="Times New Roman"/>
          <w:b w:val="false"/>
          <w:i w:val="false"/>
          <w:color w:val="000000"/>
          <w:sz w:val="24"/>
        </w:rPr>
        <w:t>  </w:t>
      </w:r>
      <w:r>
        <w:rPr>
          <w:rFonts w:ascii="Times New Roman" w:hAnsi="Times New Roman"/>
          <w:b w:val="false"/>
          <w:i w:val="false"/>
          <w:color w:val="000000"/>
          <w:sz w:val="24"/>
        </w:rPr>
        <w:t>The department will maintain policies governing the temporary confinement of clients who present a threat to the safety or security of the public, facility staff, or residents.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i.</w:t>
      </w:r>
      <w:r>
        <w:rPr>
          <w:rFonts w:ascii="Times New Roman" w:hAnsi="Times New Roman"/>
          <w:b w:val="false"/>
          <w:i w:val="false"/>
          <w:color w:val="000000"/>
          <w:sz w:val="24"/>
        </w:rPr>
        <w:t>  </w:t>
      </w:r>
      <w:r>
        <w:rPr>
          <w:rFonts w:ascii="Times New Roman" w:hAnsi="Times New Roman"/>
          <w:b w:val="false"/>
          <w:i w:val="false"/>
          <w:color w:val="000000"/>
          <w:sz w:val="24"/>
        </w:rPr>
        <w:t>The department will maintain contingency plans to ensure continuity of custody or programming during emergencies, including fire, tornado, chemical spill, or work stoppage.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j.</w:t>
      </w:r>
      <w:r>
        <w:rPr>
          <w:rFonts w:ascii="Times New Roman" w:hAnsi="Times New Roman"/>
          <w:b w:val="false"/>
          <w:i w:val="false"/>
          <w:color w:val="000000"/>
          <w:sz w:val="24"/>
        </w:rPr>
        <w:t>  </w:t>
      </w:r>
      <w:r>
        <w:rPr>
          <w:rFonts w:ascii="Times New Roman" w:hAnsi="Times New Roman"/>
          <w:b w:val="false"/>
          <w:i w:val="false"/>
          <w:color w:val="000000"/>
          <w:sz w:val="24"/>
        </w:rPr>
        <w:t>Clients housed in community facilities may be transferred to IMCC/ICIW on the recommendation of the district director or designee and with the approval of the deputy director or designee for reclassification and assignment to an institution. Transfer recommendations may be made for security, disciplinary, treatment, medical, or legal reasons.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k.</w:t>
      </w:r>
      <w:r>
        <w:rPr>
          <w:rFonts w:ascii="Times New Roman" w:hAnsi="Times New Roman"/>
          <w:b w:val="false"/>
          <w:i w:val="false"/>
          <w:color w:val="000000"/>
          <w:sz w:val="24"/>
        </w:rPr>
        <w:t>  </w:t>
      </w:r>
      <w:r>
        <w:rPr>
          <w:rFonts w:ascii="Times New Roman" w:hAnsi="Times New Roman"/>
          <w:b w:val="false"/>
          <w:i w:val="false"/>
          <w:color w:val="000000"/>
          <w:sz w:val="24"/>
        </w:rPr>
        <w:t>Clients whose parole or work release is revoked may be returned to the OWI continuum, if eligible, or returned to the designated classification center for reclassification and placement in an institution.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40.12(5)</w:t>
      </w:r>
      <w:r>
        <w:rPr>
          <w:rFonts w:ascii="Times New Roman" w:hAnsi="Times New Roman"/>
          <w:b w:val="false"/>
          <w:i w:val="false"/>
          <w:color w:val="000000"/>
          <w:sz w:val="24"/>
        </w:rPr>
        <w:t> </w:t>
      </w:r>
      <w:r>
        <w:rPr>
          <w:rFonts w:ascii="Times New Roman" w:hAnsi="Times New Roman"/>
          <w:b w:val="false"/>
          <w:i/>
          <w:color w:val="000000"/>
          <w:sz w:val="24"/>
        </w:rPr>
        <w:t xml:space="preserve">Fiscal.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The department will not enter into a subcontract for custody, housing, or treatment of clients without the written approval of the deputy director. Contracts must include provisions protecting the department from liability arising from subcontractor actions.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Subcontractors will be paid only for services on a reimbursement basis.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The department will not pay for substance use treatment otherwise available and funded from other sources.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The department and any subcontractors will, whenever possible, offset the cost of providing substance use treatment with third-party reimbursements.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The department will maintain a schedule of daily fees.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Clients may not be denied services due to an inability to pay the daily fee.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The department will maintain policies and procedures that ensure that all clients surrender their earnings to facility staff for the purpose of financial management and savings. Those policies and procedures will provide for the proper accounting and disbursement of all client funds, including but not limited to deduction of a daily fee where appropriate.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w:t>
      </w:r>
      <w:r>
        <w:rPr>
          <w:rFonts w:ascii="Times New Roman" w:hAnsi="Times New Roman"/>
          <w:b w:val="false"/>
          <w:i w:val="false"/>
          <w:color w:val="000000"/>
          <w:sz w:val="24"/>
        </w:rPr>
        <w:t>  </w:t>
      </w:r>
      <w:r>
        <w:rPr>
          <w:rFonts w:ascii="Times New Roman" w:hAnsi="Times New Roman"/>
          <w:b w:val="false"/>
          <w:i w:val="false"/>
          <w:color w:val="000000"/>
          <w:sz w:val="24"/>
        </w:rPr>
        <w:t>Upon request by the district director or designee, the county shall provide temporary confinement of clients allegedly violating the conditions of the assignment to a treatment program. The department will negotiate a reimbursement rate with each county.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f.</w:t>
      </w:r>
      <w:r>
        <w:rPr>
          <w:rFonts w:ascii="Times New Roman" w:hAnsi="Times New Roman"/>
          <w:b w:val="false"/>
          <w:i w:val="false"/>
          <w:color w:val="000000"/>
          <w:sz w:val="24"/>
        </w:rPr>
        <w:t>  </w:t>
      </w:r>
      <w:r>
        <w:rPr>
          <w:rFonts w:ascii="Times New Roman" w:hAnsi="Times New Roman"/>
          <w:b w:val="false"/>
          <w:i w:val="false"/>
          <w:color w:val="000000"/>
          <w:sz w:val="24"/>
        </w:rPr>
        <w:t>A county holding clients ordered to jail due to insufficient space in a community-based corrections program will be reimbursed by the department.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g.</w:t>
      </w:r>
      <w:r>
        <w:rPr>
          <w:rFonts w:ascii="Times New Roman" w:hAnsi="Times New Roman"/>
          <w:b w:val="false"/>
          <w:i w:val="false"/>
          <w:color w:val="000000"/>
          <w:sz w:val="24"/>
        </w:rPr>
        <w:t>  </w:t>
      </w:r>
      <w:r>
        <w:rPr>
          <w:rFonts w:ascii="Times New Roman" w:hAnsi="Times New Roman"/>
          <w:b w:val="false"/>
          <w:i w:val="false"/>
          <w:color w:val="000000"/>
          <w:sz w:val="24"/>
        </w:rPr>
        <w:t xml:space="preserve">If a client escapes or participates in an act of absconding from the facility to which the client is assigned, the client will reimburse the department for the cost of transportation in accordance with rule </w:t>
      </w:r>
      <w:hyperlink r:id="rId89">
        <w:r>
          <w:rPr>
            <w:rStyle w:val="Hyperlink"/>
            <w:rFonts w:ascii="Times New Roman" w:hAnsi="Times New Roman"/>
            <w:b w:val="false"/>
            <w:i w:val="false"/>
            <w:color w:val="000000"/>
            <w:sz w:val="24"/>
          </w:rPr>
          <w:t>201—40.6</w:t>
        </w:r>
      </w:hyperlink>
      <w:r>
        <w:rPr>
          <w:rFonts w:ascii="Times New Roman" w:hAnsi="Times New Roman"/>
          <w:b w:val="false"/>
          <w:i w:val="false"/>
          <w:color w:val="000000"/>
          <w:sz w:val="24"/>
        </w:rPr>
        <w:t>(904,906).</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40.12(6)</w:t>
      </w:r>
      <w:r>
        <w:rPr>
          <w:rFonts w:ascii="Times New Roman" w:hAnsi="Times New Roman"/>
          <w:b w:val="false"/>
          <w:i w:val="false"/>
          <w:color w:val="000000"/>
          <w:sz w:val="24"/>
        </w:rPr>
        <w:t> </w:t>
      </w:r>
      <w:r>
        <w:rPr>
          <w:rFonts w:ascii="Times New Roman" w:hAnsi="Times New Roman"/>
          <w:b w:val="false"/>
          <w:i/>
          <w:color w:val="000000"/>
          <w:sz w:val="24"/>
        </w:rPr>
        <w:t xml:space="preserve">Program structure.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The district department will provide or arrange 24-hour housing and supervision of clients, either directly or through a contract with other agencies or individuals.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Each client will sign a department-approved supervision agreement. Failure to sign or comply with the agreement may result in reason to recommend returning the client to an institution.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Clients will participate in an appropriate continuum of programming. To the extent possible, capable clients will be employed a minimum of 30 hours per week.</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Clients will be allowed to leave the facility for treatment, employment, and food service when those activities are not provided at the facility. In all other circumstances, clients may only leave the facility without supervision in accordance with furlough procedures.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w:t>
      </w:r>
      <w:r>
        <w:rPr>
          <w:rFonts w:ascii="Times New Roman" w:hAnsi="Times New Roman"/>
          <w:b w:val="false"/>
          <w:i w:val="false"/>
          <w:color w:val="000000"/>
          <w:sz w:val="24"/>
        </w:rPr>
        <w:t>  </w:t>
      </w:r>
      <w:r>
        <w:rPr>
          <w:rFonts w:ascii="Times New Roman" w:hAnsi="Times New Roman"/>
          <w:b w:val="false"/>
          <w:i w:val="false"/>
          <w:color w:val="000000"/>
          <w:sz w:val="24"/>
        </w:rPr>
        <w:t>Subcontractors will utilize department policies and procedures concerning client discipline.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f.</w:t>
      </w:r>
      <w:r>
        <w:rPr>
          <w:rFonts w:ascii="Times New Roman" w:hAnsi="Times New Roman"/>
          <w:b w:val="false"/>
          <w:i w:val="false"/>
          <w:color w:val="000000"/>
          <w:sz w:val="24"/>
        </w:rPr>
        <w:t>  </w:t>
      </w:r>
      <w:r>
        <w:rPr>
          <w:rFonts w:ascii="Times New Roman" w:hAnsi="Times New Roman"/>
          <w:b w:val="false"/>
          <w:i w:val="false"/>
          <w:color w:val="000000"/>
          <w:sz w:val="24"/>
        </w:rPr>
        <w:t xml:space="preserve">Restitution plans will be established in accordance with Iowa Code chapter </w:t>
      </w:r>
      <w:hyperlink r:id="rId90">
        <w:r>
          <w:rPr>
            <w:rStyle w:val="Hyperlink"/>
            <w:rFonts w:ascii="Times New Roman" w:hAnsi="Times New Roman"/>
            <w:b w:val="false"/>
            <w:i w:val="false"/>
            <w:color w:val="000000"/>
            <w:sz w:val="24"/>
          </w:rPr>
          <w:t>910</w:t>
        </w:r>
      </w:hyperlink>
      <w:r>
        <w:rPr>
          <w:rFonts w:ascii="Times New Roman" w:hAnsi="Times New Roman"/>
          <w:b w:val="false"/>
          <w:i w:val="false"/>
          <w:color w:val="000000"/>
          <w:sz w:val="24"/>
        </w:rPr>
        <w:t xml:space="preserve"> and rule </w:t>
      </w:r>
      <w:hyperlink r:id="rId91">
        <w:r>
          <w:rPr>
            <w:rStyle w:val="Hyperlink"/>
            <w:rFonts w:ascii="Times New Roman" w:hAnsi="Times New Roman"/>
            <w:b w:val="false"/>
            <w:i w:val="false"/>
            <w:color w:val="000000"/>
            <w:sz w:val="24"/>
          </w:rPr>
          <w:t>201—40.5</w:t>
        </w:r>
      </w:hyperlink>
      <w:r>
        <w:rPr>
          <w:rFonts w:ascii="Times New Roman" w:hAnsi="Times New Roman"/>
          <w:b w:val="false"/>
          <w:i w:val="false"/>
          <w:color w:val="000000"/>
          <w:sz w:val="24"/>
        </w:rPr>
        <w:t>(904,907,910).</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g.</w:t>
      </w:r>
      <w:r>
        <w:rPr>
          <w:rFonts w:ascii="Times New Roman" w:hAnsi="Times New Roman"/>
          <w:b w:val="false"/>
          <w:i w:val="false"/>
          <w:color w:val="000000"/>
          <w:sz w:val="24"/>
        </w:rPr>
        <w:t>  </w:t>
      </w:r>
      <w:r>
        <w:rPr>
          <w:rFonts w:ascii="Times New Roman" w:hAnsi="Times New Roman"/>
          <w:b w:val="false"/>
          <w:i w:val="false"/>
          <w:color w:val="000000"/>
          <w:sz w:val="24"/>
        </w:rPr>
        <w:t>A client identified as needing continuing care will receive follow-up treatment according to the client’s identified needs. The client will receive correctional supervision following release from the facility unless the client’s sentence has legally expired.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h.</w:t>
      </w:r>
      <w:r>
        <w:rPr>
          <w:rFonts w:ascii="Times New Roman" w:hAnsi="Times New Roman"/>
          <w:b w:val="false"/>
          <w:i w:val="false"/>
          <w:color w:val="000000"/>
          <w:sz w:val="24"/>
        </w:rPr>
        <w:t>  </w:t>
      </w:r>
      <w:r>
        <w:rPr>
          <w:rFonts w:ascii="Times New Roman" w:hAnsi="Times New Roman"/>
          <w:b w:val="false"/>
          <w:i w:val="false"/>
          <w:color w:val="000000"/>
          <w:sz w:val="24"/>
        </w:rPr>
        <w:t>Visitation will be provided in accordance with department policy. Visiting privileges may be limited to the extent necessary for treatment, security, or management reasons.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i.</w:t>
      </w:r>
      <w:r>
        <w:rPr>
          <w:rFonts w:ascii="Times New Roman" w:hAnsi="Times New Roman"/>
          <w:b w:val="false"/>
          <w:i w:val="false"/>
          <w:color w:val="000000"/>
          <w:sz w:val="24"/>
        </w:rPr>
        <w:t>  </w:t>
      </w:r>
      <w:r>
        <w:rPr>
          <w:rFonts w:ascii="Times New Roman" w:hAnsi="Times New Roman"/>
          <w:b w:val="false"/>
          <w:i w:val="false"/>
          <w:color w:val="000000"/>
          <w:sz w:val="24"/>
        </w:rPr>
        <w:t>Medical care for emergencies, illness, injury, or death will be provided in accordance with department policy.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j.</w:t>
      </w:r>
      <w:r>
        <w:rPr>
          <w:rFonts w:ascii="Times New Roman" w:hAnsi="Times New Roman"/>
          <w:b w:val="false"/>
          <w:i w:val="false"/>
          <w:color w:val="000000"/>
          <w:sz w:val="24"/>
        </w:rPr>
        <w:t>  </w:t>
      </w:r>
      <w:r>
        <w:rPr>
          <w:rFonts w:ascii="Times New Roman" w:hAnsi="Times New Roman"/>
          <w:b w:val="false"/>
          <w:i w:val="false"/>
          <w:color w:val="000000"/>
          <w:sz w:val="24"/>
        </w:rPr>
        <w:t>The department will follow established policies governing violations, transfer recommendations, parole recommendations, earned time awards, and earned loss time.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k.</w:t>
      </w:r>
      <w:r>
        <w:rPr>
          <w:rFonts w:ascii="Times New Roman" w:hAnsi="Times New Roman"/>
          <w:b w:val="false"/>
          <w:i w:val="false"/>
          <w:color w:val="000000"/>
          <w:sz w:val="24"/>
        </w:rPr>
        <w:t>  </w:t>
      </w:r>
      <w:r>
        <w:rPr>
          <w:rFonts w:ascii="Times New Roman" w:hAnsi="Times New Roman"/>
          <w:b w:val="false"/>
          <w:i w:val="false"/>
          <w:color w:val="000000"/>
          <w:sz w:val="24"/>
        </w:rPr>
        <w:t>The department will follow established policies for responding to an escape or unauthorized absence of a client from a facility, including circumstances indicating flight or criminal activity.</w:t>
      </w:r>
    </w:p>
    <w:p>
      <w:pPr>
        <w:spacing w:before="0" w:after="0" w:line="480"/>
        <w:ind w:left="120"/>
        <w:jc w:val="both"/>
      </w:pPr>
      <w:r>
        <w:rPr>
          <w:rFonts w:ascii="Times New Roman" w:hAnsi="Times New Roman"/>
          <w:b w:val="false"/>
          <w:i w:val="false"/>
          <w:color w:val="000000"/>
          <w:sz w:val="24"/>
        </w:rPr>
        <w:t xml:space="preserve">This rule is intended to implement Iowa Code sections </w:t>
      </w:r>
      <w:hyperlink r:id="rId92">
        <w:r>
          <w:rPr>
            <w:rStyle w:val="Hyperlink"/>
            <w:rFonts w:ascii="Times New Roman" w:hAnsi="Times New Roman"/>
            <w:b w:val="false"/>
            <w:i w:val="false"/>
            <w:color w:val="000000"/>
            <w:sz w:val="24"/>
          </w:rPr>
          <w:t>904.513</w:t>
        </w:r>
      </w:hyperlink>
      <w:r>
        <w:rPr>
          <w:rFonts w:ascii="Times New Roman" w:hAnsi="Times New Roman"/>
          <w:b w:val="false"/>
          <w:i w:val="false"/>
          <w:color w:val="000000"/>
          <w:sz w:val="24"/>
        </w:rPr>
        <w:t xml:space="preserve">, </w:t>
      </w:r>
      <w:hyperlink r:id="rId93">
        <w:r>
          <w:rPr>
            <w:rStyle w:val="Hyperlink"/>
            <w:rFonts w:ascii="Times New Roman" w:hAnsi="Times New Roman"/>
            <w:b w:val="false"/>
            <w:i w:val="false"/>
            <w:color w:val="000000"/>
            <w:sz w:val="24"/>
          </w:rPr>
          <w:t>904.909</w:t>
        </w:r>
      </w:hyperlink>
      <w:r>
        <w:rPr>
          <w:rFonts w:ascii="Times New Roman" w:hAnsi="Times New Roman"/>
          <w:b w:val="false"/>
          <w:i w:val="false"/>
          <w:color w:val="000000"/>
          <w:sz w:val="24"/>
        </w:rPr>
        <w:t xml:space="preserve"> and </w:t>
      </w:r>
      <w:hyperlink r:id="rId94">
        <w:r>
          <w:rPr>
            <w:rStyle w:val="Hyperlink"/>
            <w:rFonts w:ascii="Times New Roman" w:hAnsi="Times New Roman"/>
            <w:b w:val="false"/>
            <w:i w:val="false"/>
            <w:color w:val="000000"/>
            <w:sz w:val="24"/>
          </w:rPr>
          <w:t>910.5</w:t>
        </w:r>
      </w:hyperlink>
      <w:r>
        <w:rPr>
          <w:rFonts w:ascii="Times New Roman" w:hAnsi="Times New Roman"/>
          <w:b w:val="false"/>
          <w:i w:val="false"/>
          <w:color w:val="000000"/>
          <w:sz w:val="24"/>
        </w:rPr>
        <w:t>.</w:t>
      </w:r>
    </w:p>
    <w:p>
      <w:pPr>
        <w:pBdr>
          <w:top w:space="10"/>
        </w:pBdr>
        <w:spacing w:before="0" w:after="0" w:line="480"/>
        <w:ind w:left="120"/>
        <w:jc w:val="center"/>
      </w:pPr>
      <w:r>
        <w:rPr>
          <w:rFonts w:ascii="Times New Roman" w:hAnsi="Times New Roman"/>
          <w:b w:val="false"/>
          <w:i w:val="false"/>
          <w:color w:val="000000"/>
          <w:sz w:val="16"/>
        </w:rPr>
        <w:t>DIVISION VII</w:t>
      </w:r>
    </w:p>
    <w:p>
      <w:pPr>
        <w:pBdr>
          <w:bottom w:space="10"/>
        </w:pBdr>
        <w:spacing w:before="0" w:after="0" w:line="480"/>
        <w:ind w:left="120"/>
        <w:jc w:val="center"/>
      </w:pPr>
      <w:r>
        <w:rPr>
          <w:rFonts w:ascii="Times New Roman" w:hAnsi="Times New Roman"/>
          <w:b w:val="false"/>
          <w:i w:val="false"/>
          <w:color w:val="000000"/>
          <w:sz w:val="16"/>
        </w:rPr>
        <w:t>WORK RELEASE</w:t>
      </w:r>
    </w:p>
    <w:p>
      <w:pPr>
        <w:spacing w:before="0" w:after="0" w:line="480"/>
        <w:ind w:left="120"/>
        <w:jc w:val="both"/>
      </w:pPr>
      <w:r>
        <w:rPr>
          <w:rFonts w:ascii="Times New Roman" w:hAnsi="Times New Roman"/>
          <w:b/>
          <w:i w:val="false"/>
          <w:color w:val="000000"/>
          <w:sz w:val="24"/>
        </w:rPr>
        <w:t>201—40.13</w:t>
      </w:r>
      <w:r>
        <w:rPr>
          <w:rFonts w:ascii="Times New Roman" w:hAnsi="Times New Roman"/>
          <w:b/>
          <w:i w:val="false"/>
          <w:color w:val="000000"/>
          <w:sz w:val="24"/>
        </w:rPr>
        <w:t xml:space="preserve">(904) </w:t>
      </w:r>
      <w:r>
        <w:rPr>
          <w:rFonts w:ascii="Times New Roman" w:hAnsi="Times New Roman"/>
          <w:b/>
          <w:i w:val="false"/>
          <w:color w:val="000000"/>
          <w:sz w:val="24"/>
        </w:rPr>
        <w:t xml:space="preserve">Work release.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40.13(1)</w:t>
      </w:r>
      <w:r>
        <w:rPr>
          <w:rFonts w:ascii="Times New Roman" w:hAnsi="Times New Roman"/>
          <w:b w:val="false"/>
          <w:i w:val="false"/>
          <w:color w:val="000000"/>
          <w:sz w:val="24"/>
        </w:rPr>
        <w:t> </w:t>
      </w:r>
      <w:r>
        <w:rPr>
          <w:rFonts w:ascii="Times New Roman" w:hAnsi="Times New Roman"/>
          <w:b w:val="false"/>
          <w:i/>
          <w:color w:val="000000"/>
          <w:sz w:val="24"/>
        </w:rPr>
        <w:t xml:space="preserve">Supervision.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Persons committed to the director of the department and approved for work release by the board of parole will be supervised by a district department.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 xml:space="preserve">Residential facility intake procedures apply in accordance with </w:t>
      </w:r>
      <w:hyperlink r:id="rId95">
        <w:r>
          <w:rPr>
            <w:rStyle w:val="Hyperlink"/>
            <w:rFonts w:ascii="Times New Roman" w:hAnsi="Times New Roman"/>
            <w:b w:val="false"/>
            <w:i w:val="false"/>
            <w:color w:val="000000"/>
            <w:sz w:val="24"/>
          </w:rPr>
          <w:t>201—subrule 40.11(2)</w:t>
        </w:r>
      </w:hyperlink>
      <w:r>
        <w:rPr>
          <w:rFonts w:ascii="Times New Roman" w:hAnsi="Times New Roman"/>
          <w:b w:val="false"/>
          <w:i w:val="false"/>
          <w:color w:val="000000"/>
          <w:sz w:val="24"/>
        </w:rPr>
        <w:t xml:space="preserve"> and are not restated.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Work release clients may be eligible to participate in day reporting in accordance with department policy WR/OWI-19. Day reporting allows selected clients an opportunity to move from a residential facility to a home setting.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40.13(2)</w:t>
      </w:r>
      <w:r>
        <w:rPr>
          <w:rFonts w:ascii="Times New Roman" w:hAnsi="Times New Roman"/>
          <w:b w:val="false"/>
          <w:i w:val="false"/>
          <w:color w:val="000000"/>
          <w:sz w:val="24"/>
        </w:rPr>
        <w:t> </w:t>
      </w:r>
      <w:r>
        <w:rPr>
          <w:rFonts w:ascii="Times New Roman" w:hAnsi="Times New Roman"/>
          <w:b w:val="false"/>
          <w:i/>
          <w:color w:val="000000"/>
          <w:sz w:val="24"/>
        </w:rPr>
        <w:t xml:space="preserve">Facility requirements. </w:t>
      </w:r>
      <w:r>
        <w:rPr>
          <w:rFonts w:ascii="Times New Roman" w:hAnsi="Times New Roman"/>
          <w:b w:val="false"/>
          <w:i w:val="false"/>
          <w:color w:val="000000"/>
          <w:sz w:val="24"/>
        </w:rPr>
        <w:t xml:space="preserve">The provisions set forth in rule </w:t>
      </w:r>
      <w:hyperlink r:id="rId96">
        <w:r>
          <w:rPr>
            <w:rStyle w:val="Hyperlink"/>
            <w:rFonts w:ascii="Times New Roman" w:hAnsi="Times New Roman"/>
            <w:b w:val="false"/>
            <w:i w:val="false"/>
            <w:color w:val="000000"/>
            <w:sz w:val="24"/>
          </w:rPr>
          <w:t>201—40.11</w:t>
        </w:r>
      </w:hyperlink>
      <w:r>
        <w:rPr>
          <w:rFonts w:ascii="Times New Roman" w:hAnsi="Times New Roman"/>
          <w:b w:val="false"/>
          <w:i w:val="false"/>
          <w:color w:val="000000"/>
          <w:sz w:val="24"/>
        </w:rPr>
        <w:t>(904,907,908,910) apply to this rule and are not restated.</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40.13(3)</w:t>
      </w:r>
      <w:r>
        <w:rPr>
          <w:rFonts w:ascii="Times New Roman" w:hAnsi="Times New Roman"/>
          <w:b w:val="false"/>
          <w:i w:val="false"/>
          <w:color w:val="000000"/>
          <w:sz w:val="24"/>
        </w:rPr>
        <w:t> </w:t>
      </w:r>
      <w:r>
        <w:rPr>
          <w:rFonts w:ascii="Times New Roman" w:hAnsi="Times New Roman"/>
          <w:b w:val="false"/>
          <w:i/>
          <w:color w:val="000000"/>
          <w:sz w:val="24"/>
        </w:rPr>
        <w:t xml:space="preserve">Earned time. </w:t>
      </w:r>
      <w:r>
        <w:rPr>
          <w:rFonts w:ascii="Times New Roman" w:hAnsi="Times New Roman"/>
          <w:b w:val="false"/>
          <w:i w:val="false"/>
          <w:color w:val="000000"/>
          <w:sz w:val="24"/>
        </w:rPr>
        <w:t>Earned time will be awarded in accordance with department policy.</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40.13(4)</w:t>
      </w:r>
      <w:r>
        <w:rPr>
          <w:rFonts w:ascii="Times New Roman" w:hAnsi="Times New Roman"/>
          <w:b w:val="false"/>
          <w:i w:val="false"/>
          <w:color w:val="000000"/>
          <w:sz w:val="24"/>
        </w:rPr>
        <w:t> </w:t>
      </w:r>
      <w:r>
        <w:rPr>
          <w:rFonts w:ascii="Times New Roman" w:hAnsi="Times New Roman"/>
          <w:b w:val="false"/>
          <w:i/>
          <w:color w:val="000000"/>
          <w:sz w:val="24"/>
        </w:rPr>
        <w:t xml:space="preserve">Continuity of operations. </w:t>
      </w:r>
      <w:r>
        <w:rPr>
          <w:rFonts w:ascii="Times New Roman" w:hAnsi="Times New Roman"/>
          <w:b w:val="false"/>
          <w:i w:val="false"/>
          <w:color w:val="000000"/>
          <w:sz w:val="24"/>
        </w:rPr>
        <w:t>The department will maintain contingency plans to ensure proper continuation of the program in the event of emergencies, including fire, tornado, chemical spill, or work stoppage.</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40.13(5)</w:t>
      </w:r>
      <w:r>
        <w:rPr>
          <w:rFonts w:ascii="Times New Roman" w:hAnsi="Times New Roman"/>
          <w:b w:val="false"/>
          <w:i w:val="false"/>
          <w:color w:val="000000"/>
          <w:sz w:val="24"/>
        </w:rPr>
        <w:t> </w:t>
      </w:r>
      <w:r>
        <w:rPr>
          <w:rFonts w:ascii="Times New Roman" w:hAnsi="Times New Roman"/>
          <w:b w:val="false"/>
          <w:i/>
          <w:color w:val="000000"/>
          <w:sz w:val="24"/>
        </w:rPr>
        <w:t xml:space="preserve">Visitation. </w:t>
      </w:r>
      <w:r>
        <w:rPr>
          <w:rFonts w:ascii="Times New Roman" w:hAnsi="Times New Roman"/>
          <w:b w:val="false"/>
          <w:i w:val="false"/>
          <w:color w:val="000000"/>
          <w:sz w:val="24"/>
        </w:rPr>
        <w:t>Visitation will be provided in accordance with department policy. Visiting privileges may be limited to the extent necessary for security or management reasons.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40.13(6)</w:t>
      </w:r>
      <w:r>
        <w:rPr>
          <w:rFonts w:ascii="Times New Roman" w:hAnsi="Times New Roman"/>
          <w:b w:val="false"/>
          <w:i w:val="false"/>
          <w:color w:val="000000"/>
          <w:sz w:val="24"/>
        </w:rPr>
        <w:t> </w:t>
      </w:r>
      <w:r>
        <w:rPr>
          <w:rFonts w:ascii="Times New Roman" w:hAnsi="Times New Roman"/>
          <w:b w:val="false"/>
          <w:i/>
          <w:color w:val="000000"/>
          <w:sz w:val="24"/>
        </w:rPr>
        <w:t xml:space="preserve">Transportation. </w:t>
      </w:r>
      <w:r>
        <w:rPr>
          <w:rFonts w:ascii="Times New Roman" w:hAnsi="Times New Roman"/>
          <w:b w:val="false"/>
          <w:i w:val="false"/>
          <w:color w:val="000000"/>
          <w:sz w:val="24"/>
        </w:rPr>
        <w:t>Department staff may provide transportation in order to facilitate program objectives or for security purposes.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40.13(7)</w:t>
      </w:r>
      <w:r>
        <w:rPr>
          <w:rFonts w:ascii="Times New Roman" w:hAnsi="Times New Roman"/>
          <w:b w:val="false"/>
          <w:i w:val="false"/>
          <w:color w:val="000000"/>
          <w:sz w:val="24"/>
        </w:rPr>
        <w:t> </w:t>
      </w:r>
      <w:r>
        <w:rPr>
          <w:rFonts w:ascii="Times New Roman" w:hAnsi="Times New Roman"/>
          <w:b w:val="false"/>
          <w:i/>
          <w:color w:val="000000"/>
          <w:sz w:val="24"/>
        </w:rPr>
        <w:t xml:space="preserve">Restitution plan of payment. </w:t>
      </w:r>
      <w:r>
        <w:rPr>
          <w:rFonts w:ascii="Times New Roman" w:hAnsi="Times New Roman"/>
          <w:b w:val="false"/>
          <w:i w:val="false"/>
          <w:color w:val="000000"/>
          <w:sz w:val="24"/>
        </w:rPr>
        <w:t xml:space="preserve">Restitution plans of payment will be established in accordance with Iowa Code chapter </w:t>
      </w:r>
      <w:hyperlink r:id="rId97">
        <w:r>
          <w:rPr>
            <w:rStyle w:val="Hyperlink"/>
            <w:rFonts w:ascii="Times New Roman" w:hAnsi="Times New Roman"/>
            <w:b w:val="false"/>
            <w:i w:val="false"/>
            <w:color w:val="000000"/>
            <w:sz w:val="24"/>
          </w:rPr>
          <w:t>910</w:t>
        </w:r>
      </w:hyperlink>
      <w:r>
        <w:rPr>
          <w:rFonts w:ascii="Times New Roman" w:hAnsi="Times New Roman"/>
          <w:b w:val="false"/>
          <w:i w:val="false"/>
          <w:color w:val="000000"/>
          <w:sz w:val="24"/>
        </w:rPr>
        <w:t xml:space="preserve"> and rule </w:t>
      </w:r>
      <w:hyperlink r:id="rId98">
        <w:r>
          <w:rPr>
            <w:rStyle w:val="Hyperlink"/>
            <w:rFonts w:ascii="Times New Roman" w:hAnsi="Times New Roman"/>
            <w:b w:val="false"/>
            <w:i w:val="false"/>
            <w:color w:val="000000"/>
            <w:sz w:val="24"/>
          </w:rPr>
          <w:t>201—40.5</w:t>
        </w:r>
      </w:hyperlink>
      <w:r>
        <w:rPr>
          <w:rFonts w:ascii="Times New Roman" w:hAnsi="Times New Roman"/>
          <w:b w:val="false"/>
          <w:i w:val="false"/>
          <w:color w:val="000000"/>
          <w:sz w:val="24"/>
        </w:rPr>
        <w:t>(904,907,910).</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40.13(8)</w:t>
      </w:r>
      <w:r>
        <w:rPr>
          <w:rFonts w:ascii="Times New Roman" w:hAnsi="Times New Roman"/>
          <w:b w:val="false"/>
          <w:i w:val="false"/>
          <w:color w:val="000000"/>
          <w:sz w:val="24"/>
        </w:rPr>
        <w:t> </w:t>
      </w:r>
      <w:r>
        <w:rPr>
          <w:rFonts w:ascii="Times New Roman" w:hAnsi="Times New Roman"/>
          <w:b w:val="false"/>
          <w:i/>
          <w:color w:val="000000"/>
          <w:sz w:val="24"/>
        </w:rPr>
        <w:t xml:space="preserve">Resident finances. </w:t>
      </w:r>
      <w:r>
        <w:rPr>
          <w:rFonts w:ascii="Times New Roman" w:hAnsi="Times New Roman"/>
          <w:b w:val="false"/>
          <w:i w:val="false"/>
          <w:color w:val="000000"/>
          <w:sz w:val="24"/>
        </w:rPr>
        <w:t xml:space="preserve">The department will maintain policies and procedures that ensure that all residents surrender their earnings to the facility in accordance with Iowa Code section </w:t>
      </w:r>
      <w:hyperlink r:id="rId99">
        <w:r>
          <w:rPr>
            <w:rStyle w:val="Hyperlink"/>
            <w:rFonts w:ascii="Times New Roman" w:hAnsi="Times New Roman"/>
            <w:b w:val="false"/>
            <w:i w:val="false"/>
            <w:color w:val="000000"/>
            <w:sz w:val="24"/>
          </w:rPr>
          <w:t>904.905</w:t>
        </w:r>
      </w:hyperlink>
      <w:r>
        <w:rPr>
          <w:rFonts w:ascii="Times New Roman" w:hAnsi="Times New Roman"/>
          <w:b w:val="false"/>
          <w:i w:val="false"/>
          <w:color w:val="000000"/>
          <w:sz w:val="24"/>
        </w:rPr>
        <w:t>. The department will provide for the proper accounting for the receipt and disbursement of resident earnings.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40.13(9)</w:t>
      </w:r>
      <w:r>
        <w:rPr>
          <w:rFonts w:ascii="Times New Roman" w:hAnsi="Times New Roman"/>
          <w:b w:val="false"/>
          <w:i w:val="false"/>
          <w:color w:val="000000"/>
          <w:sz w:val="24"/>
        </w:rPr>
        <w:t> </w:t>
      </w:r>
      <w:r>
        <w:rPr>
          <w:rFonts w:ascii="Times New Roman" w:hAnsi="Times New Roman"/>
          <w:b w:val="false"/>
          <w:i/>
          <w:color w:val="000000"/>
          <w:sz w:val="24"/>
        </w:rPr>
        <w:t xml:space="preserve">Furloughs. </w:t>
      </w:r>
      <w:r>
        <w:rPr>
          <w:rFonts w:ascii="Times New Roman" w:hAnsi="Times New Roman"/>
          <w:b w:val="false"/>
          <w:i w:val="false"/>
          <w:color w:val="000000"/>
          <w:sz w:val="24"/>
        </w:rPr>
        <w:t>Furloughs for work release clients will be administered in accordance with department policy.</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40.13(10)</w:t>
      </w:r>
      <w:r>
        <w:rPr>
          <w:rFonts w:ascii="Times New Roman" w:hAnsi="Times New Roman"/>
          <w:b w:val="false"/>
          <w:i w:val="false"/>
          <w:color w:val="000000"/>
          <w:sz w:val="24"/>
        </w:rPr>
        <w:t> </w:t>
      </w:r>
      <w:r>
        <w:rPr>
          <w:rFonts w:ascii="Times New Roman" w:hAnsi="Times New Roman"/>
          <w:b w:val="false"/>
          <w:i/>
          <w:color w:val="000000"/>
          <w:sz w:val="24"/>
        </w:rPr>
        <w:t xml:space="preserve">Violations. </w:t>
      </w:r>
      <w:r>
        <w:rPr>
          <w:rFonts w:ascii="Times New Roman" w:hAnsi="Times New Roman"/>
          <w:b w:val="false"/>
          <w:i w:val="false"/>
          <w:color w:val="000000"/>
          <w:sz w:val="24"/>
        </w:rPr>
        <w:t>When disciplinary problems occur with residents who have been approved for work release but not yet placed, designated staff will determine whether the situation is serious enough to warrant further review by the board of parole.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For purposes of this subrule, designated staff means authorized persons from the district department, the deputy director, or the sending institution.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Work release violations may be classified as technical, minor, or major in accordance with department policy, depending on the seriousness and frequency. The classification will determine the sanction or range of sanctions to correspond with the violation(s).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 xml:space="preserve">Requests for temporary custody in a county jail or municipal holding facility may be issued by authorized staff of the department in those cases where the resident is considered dangerous, likely to flee or in serious violation of the work release program. The requests will be in accordance with Iowa Code section </w:t>
      </w:r>
      <w:hyperlink r:id="rId100">
        <w:r>
          <w:rPr>
            <w:rStyle w:val="Hyperlink"/>
            <w:rFonts w:ascii="Times New Roman" w:hAnsi="Times New Roman"/>
            <w:b w:val="false"/>
            <w:i w:val="false"/>
            <w:color w:val="000000"/>
            <w:sz w:val="24"/>
          </w:rPr>
          <w:t>904.908</w:t>
        </w:r>
      </w:hyperlink>
      <w:r>
        <w:rPr>
          <w:rFonts w:ascii="Times New Roman" w:hAnsi="Times New Roman"/>
          <w:b w:val="false"/>
          <w:i w:val="false"/>
          <w:color w:val="000000"/>
          <w:sz w:val="24"/>
        </w:rPr>
        <w:t xml:space="preserve"> and department policy.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 xml:space="preserve">Residents who are out of place of assignment are considered in serious violation of work release rules and possibly guilty of a felony under Iowa Code section </w:t>
      </w:r>
      <w:hyperlink r:id="rId101">
        <w:r>
          <w:rPr>
            <w:rStyle w:val="Hyperlink"/>
            <w:rFonts w:ascii="Times New Roman" w:hAnsi="Times New Roman"/>
            <w:b w:val="false"/>
            <w:i w:val="false"/>
            <w:color w:val="000000"/>
            <w:sz w:val="24"/>
          </w:rPr>
          <w:t>719.4</w:t>
        </w:r>
      </w:hyperlink>
      <w:r>
        <w:rPr>
          <w:rFonts w:ascii="Times New Roman" w:hAnsi="Times New Roman"/>
          <w:b w:val="false"/>
          <w:i w:val="false"/>
          <w:color w:val="000000"/>
          <w:sz w:val="24"/>
        </w:rPr>
        <w:t>. Escapes will be reported to designated authorities in accordance with department policy and critical incident policy.</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40.13(11)</w:t>
      </w:r>
      <w:r>
        <w:rPr>
          <w:rFonts w:ascii="Times New Roman" w:hAnsi="Times New Roman"/>
          <w:b w:val="false"/>
          <w:i w:val="false"/>
          <w:color w:val="000000"/>
          <w:sz w:val="24"/>
        </w:rPr>
        <w:t> </w:t>
      </w:r>
      <w:r>
        <w:rPr>
          <w:rFonts w:ascii="Times New Roman" w:hAnsi="Times New Roman"/>
          <w:b w:val="false"/>
          <w:i/>
          <w:color w:val="000000"/>
          <w:sz w:val="24"/>
        </w:rPr>
        <w:t xml:space="preserve">Reimbursement for transportation. </w:t>
      </w:r>
      <w:r>
        <w:rPr>
          <w:rFonts w:ascii="Times New Roman" w:hAnsi="Times New Roman"/>
          <w:b w:val="false"/>
          <w:i w:val="false"/>
          <w:color w:val="000000"/>
          <w:sz w:val="24"/>
        </w:rPr>
        <w:t xml:space="preserve">Transportation costs incurred due to a work release client escaping or absconding will be assessed against the work release client in accordance with rule </w:t>
      </w:r>
      <w:hyperlink r:id="rId102">
        <w:r>
          <w:rPr>
            <w:rStyle w:val="Hyperlink"/>
            <w:rFonts w:ascii="Times New Roman" w:hAnsi="Times New Roman"/>
            <w:b w:val="false"/>
            <w:i w:val="false"/>
            <w:color w:val="000000"/>
            <w:sz w:val="24"/>
          </w:rPr>
          <w:t>201—40.6</w:t>
        </w:r>
      </w:hyperlink>
      <w:r>
        <w:rPr>
          <w:rFonts w:ascii="Times New Roman" w:hAnsi="Times New Roman"/>
          <w:b w:val="false"/>
          <w:i w:val="false"/>
          <w:color w:val="000000"/>
          <w:sz w:val="24"/>
        </w:rPr>
        <w:t>(904,906).</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40.13(12)</w:t>
      </w:r>
      <w:r>
        <w:rPr>
          <w:rFonts w:ascii="Times New Roman" w:hAnsi="Times New Roman"/>
          <w:b w:val="false"/>
          <w:i w:val="false"/>
          <w:color w:val="000000"/>
          <w:sz w:val="24"/>
        </w:rPr>
        <w:t> </w:t>
      </w:r>
      <w:r>
        <w:rPr>
          <w:rFonts w:ascii="Times New Roman" w:hAnsi="Times New Roman"/>
          <w:b w:val="false"/>
          <w:i/>
          <w:color w:val="000000"/>
          <w:sz w:val="24"/>
        </w:rPr>
        <w:t xml:space="preserve">Transfers.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Clients guilty of serious work release violations may be recommended for reclassification or transfer by a district department. Designated staff will determine whether the resident is to be transferred to a secure institution.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Transfers from one facility to another facility to a designated Iowa classification center may be allowed in special circumstances with the approval of the department.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40.13(13)</w:t>
      </w:r>
      <w:r>
        <w:rPr>
          <w:rFonts w:ascii="Times New Roman" w:hAnsi="Times New Roman"/>
          <w:b w:val="false"/>
          <w:i w:val="false"/>
          <w:color w:val="000000"/>
          <w:sz w:val="24"/>
        </w:rPr>
        <w:t> </w:t>
      </w:r>
      <w:r>
        <w:rPr>
          <w:rFonts w:ascii="Times New Roman" w:hAnsi="Times New Roman"/>
          <w:b w:val="false"/>
          <w:i/>
          <w:color w:val="000000"/>
          <w:sz w:val="24"/>
        </w:rPr>
        <w:t xml:space="preserve">Discharge. </w:t>
      </w:r>
      <w:r>
        <w:rPr>
          <w:rFonts w:ascii="Times New Roman" w:hAnsi="Times New Roman"/>
          <w:b w:val="false"/>
          <w:i w:val="false"/>
          <w:color w:val="000000"/>
          <w:sz w:val="24"/>
        </w:rPr>
        <w:t>Under no circumstance will work release supervision extend beyond the expiration of a work releasee’s sentence.</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40.13(14)</w:t>
      </w:r>
      <w:r>
        <w:rPr>
          <w:rFonts w:ascii="Times New Roman" w:hAnsi="Times New Roman"/>
          <w:b w:val="false"/>
          <w:i w:val="false"/>
          <w:color w:val="000000"/>
          <w:sz w:val="24"/>
        </w:rPr>
        <w:t> </w:t>
      </w:r>
      <w:r>
        <w:rPr>
          <w:rFonts w:ascii="Times New Roman" w:hAnsi="Times New Roman"/>
          <w:b w:val="false"/>
          <w:i/>
          <w:color w:val="000000"/>
          <w:sz w:val="24"/>
        </w:rPr>
        <w:t xml:space="preserve">Federal contracts for work release. </w:t>
      </w:r>
      <w:r>
        <w:rPr>
          <w:rFonts w:ascii="Times New Roman" w:hAnsi="Times New Roman"/>
          <w:b w:val="false"/>
          <w:i w:val="false"/>
          <w:color w:val="000000"/>
          <w:sz w:val="24"/>
        </w:rPr>
        <w:t>In order to qualify nonfederal work release clients for employment in the performance of federal contracts, under presidential Executive Order 11755, each district department will ascertain: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That the rate of pay and other conditions of employment will be at a similar rate and mode to others employed in like duties;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That employment of the work release client will not result in the displacement of other persons already employed, not be utilized where a surplus of labor exists, and not harm existing contracts; and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Representatives of affected unions will have been consulted.</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40.13(15)</w:t>
      </w:r>
      <w:r>
        <w:rPr>
          <w:rFonts w:ascii="Times New Roman" w:hAnsi="Times New Roman"/>
          <w:b w:val="false"/>
          <w:i w:val="false"/>
          <w:color w:val="000000"/>
          <w:sz w:val="24"/>
        </w:rPr>
        <w:t> </w:t>
      </w:r>
      <w:r>
        <w:rPr>
          <w:rFonts w:ascii="Times New Roman" w:hAnsi="Times New Roman"/>
          <w:b w:val="false"/>
          <w:i/>
          <w:color w:val="000000"/>
          <w:sz w:val="24"/>
        </w:rPr>
        <w:t xml:space="preserve">Home work release.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 xml:space="preserve">Pursuant to Iowa Code section </w:t>
      </w:r>
      <w:hyperlink r:id="rId103">
        <w:r>
          <w:rPr>
            <w:rStyle w:val="Hyperlink"/>
            <w:rFonts w:ascii="Times New Roman" w:hAnsi="Times New Roman"/>
            <w:b w:val="false"/>
            <w:i w:val="false"/>
            <w:color w:val="000000"/>
            <w:sz w:val="24"/>
          </w:rPr>
          <w:t>904.901</w:t>
        </w:r>
      </w:hyperlink>
      <w:r>
        <w:rPr>
          <w:rFonts w:ascii="Times New Roman" w:hAnsi="Times New Roman"/>
          <w:b w:val="false"/>
          <w:i w:val="false"/>
          <w:color w:val="000000"/>
          <w:sz w:val="24"/>
        </w:rPr>
        <w:t>, home work release provides the opportunity in exceptional circumstances for qualified clients of correctional institutions to return to their homes.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Persons committed to the director of the department and approved for home work release by the board of parole will be supervised by a district department.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Home work release is additionally governed by the provisions of department policy CBC-RS-02.</w:t>
      </w:r>
    </w:p>
    <w:p>
      <w:pPr>
        <w:spacing w:before="0" w:after="0" w:line="480"/>
        <w:ind w:left="120"/>
        <w:jc w:val="both"/>
      </w:pPr>
      <w:r>
        <w:rPr>
          <w:rFonts w:ascii="Times New Roman" w:hAnsi="Times New Roman"/>
          <w:b w:val="false"/>
          <w:i w:val="false"/>
          <w:color w:val="000000"/>
          <w:sz w:val="24"/>
        </w:rPr>
        <w:t xml:space="preserve">This rule is intended to implement Iowa Code sections </w:t>
      </w:r>
      <w:hyperlink r:id="rId104">
        <w:r>
          <w:rPr>
            <w:rStyle w:val="Hyperlink"/>
            <w:rFonts w:ascii="Times New Roman" w:hAnsi="Times New Roman"/>
            <w:b w:val="false"/>
            <w:i w:val="false"/>
            <w:color w:val="000000"/>
            <w:sz w:val="24"/>
          </w:rPr>
          <w:t>904.901</w:t>
        </w:r>
      </w:hyperlink>
      <w:r>
        <w:rPr>
          <w:rFonts w:ascii="Times New Roman" w:hAnsi="Times New Roman"/>
          <w:b w:val="false"/>
          <w:i w:val="false"/>
          <w:color w:val="000000"/>
          <w:sz w:val="24"/>
        </w:rPr>
        <w:t xml:space="preserve"> through </w:t>
      </w:r>
      <w:hyperlink r:id="rId105">
        <w:r>
          <w:rPr>
            <w:rStyle w:val="Hyperlink"/>
            <w:rFonts w:ascii="Times New Roman" w:hAnsi="Times New Roman"/>
            <w:b w:val="false"/>
            <w:i w:val="false"/>
            <w:color w:val="000000"/>
            <w:sz w:val="24"/>
          </w:rPr>
          <w:t>904.909</w:t>
        </w:r>
      </w:hyperlink>
      <w:r>
        <w:rPr>
          <w:rFonts w:ascii="Times New Roman" w:hAnsi="Times New Roman"/>
          <w:b w:val="false"/>
          <w:i w:val="false"/>
          <w:color w:val="000000"/>
          <w:sz w:val="24"/>
        </w:rPr>
        <w:t>.</w:t>
      </w:r>
    </w:p>
    <w:p>
      <w:pPr>
        <w:spacing w:before="0" w:after="0" w:line="480"/>
        <w:ind w:left="120"/>
        <w:jc w:val="left"/>
      </w:pPr>
      <w:r>
        <w:rPr>
          <w:rFonts w:ascii="Times New Roman" w:hAnsi="Times New Roman"/>
          <w:b w:val="false"/>
          <w:i w:val="false"/>
          <w:color w:val="000000"/>
          <w:sz w:val="24"/>
        </w:rPr>
        <w:t>    </w:t>
      </w:r>
      <w:r>
        <w:rPr>
          <w:rFonts w:ascii="Times New Roman" w:hAnsi="Times New Roman"/>
          <w:b w:val="false"/>
          <w:i w:val="false"/>
          <w:color w:val="000000"/>
          <w:sz w:val="24"/>
        </w:rPr>
        <w:t>ITEM 2.</w:t>
      </w:r>
      <w:r>
        <w:rPr>
          <w:rFonts w:ascii="Times New Roman" w:hAnsi="Times New Roman"/>
          <w:b w:val="false"/>
          <w:i w:val="false"/>
          <w:color w:val="000000"/>
          <w:sz w:val="24"/>
        </w:rPr>
        <w:t>  </w:t>
      </w:r>
      <w:r>
        <w:rPr>
          <w:rFonts w:ascii="Times New Roman" w:hAnsi="Times New Roman"/>
          <w:b w:val="false"/>
          <w:i w:val="false"/>
          <w:color w:val="000000"/>
          <w:sz w:val="24"/>
        </w:rPr>
        <w:t xml:space="preserve">Rescind and reserve </w:t>
      </w:r>
      <w:r>
        <w:rPr>
          <w:rFonts w:ascii="Times New Roman" w:hAnsi="Times New Roman"/>
          <w:b/>
          <w:i w:val="false"/>
          <w:color w:val="000000"/>
          <w:sz w:val="24"/>
        </w:rPr>
        <w:t>201—Chapter 41</w:t>
      </w:r>
      <w:r>
        <w:rPr>
          <w:rFonts w:ascii="Times New Roman" w:hAnsi="Times New Roman"/>
          <w:b w:val="false"/>
          <w:i w:val="false"/>
          <w:color w:val="000000"/>
          <w:sz w:val="24"/>
        </w:rPr>
        <w:t>.</w:t>
      </w:r>
    </w:p>
    <w:p>
      <w:pPr>
        <w:spacing w:before="0" w:after="0" w:line="480"/>
        <w:ind w:left="120"/>
        <w:jc w:val="left"/>
      </w:pPr>
      <w:r>
        <w:rPr>
          <w:rFonts w:ascii="Times New Roman" w:hAnsi="Times New Roman"/>
          <w:b w:val="false"/>
          <w:i w:val="false"/>
          <w:color w:val="000000"/>
          <w:sz w:val="24"/>
        </w:rPr>
        <w:t>    </w:t>
      </w:r>
      <w:r>
        <w:rPr>
          <w:rFonts w:ascii="Times New Roman" w:hAnsi="Times New Roman"/>
          <w:b w:val="false"/>
          <w:i w:val="false"/>
          <w:color w:val="000000"/>
          <w:sz w:val="24"/>
        </w:rPr>
        <w:t>ITEM 3.</w:t>
      </w:r>
      <w:r>
        <w:rPr>
          <w:rFonts w:ascii="Times New Roman" w:hAnsi="Times New Roman"/>
          <w:b w:val="false"/>
          <w:i w:val="false"/>
          <w:color w:val="000000"/>
          <w:sz w:val="24"/>
        </w:rPr>
        <w:t>  </w:t>
      </w:r>
      <w:r>
        <w:rPr>
          <w:rFonts w:ascii="Times New Roman" w:hAnsi="Times New Roman"/>
          <w:b w:val="false"/>
          <w:i w:val="false"/>
          <w:color w:val="000000"/>
          <w:sz w:val="24"/>
        </w:rPr>
        <w:t xml:space="preserve">Rescind and reserve </w:t>
      </w:r>
      <w:r>
        <w:rPr>
          <w:rFonts w:ascii="Times New Roman" w:hAnsi="Times New Roman"/>
          <w:b/>
          <w:i w:val="false"/>
          <w:color w:val="000000"/>
          <w:sz w:val="24"/>
        </w:rPr>
        <w:t>201—Chapter 42</w:t>
      </w:r>
      <w:r>
        <w:rPr>
          <w:rFonts w:ascii="Times New Roman" w:hAnsi="Times New Roman"/>
          <w:b w:val="false"/>
          <w:i w:val="false"/>
          <w:color w:val="000000"/>
          <w:sz w:val="24"/>
        </w:rPr>
        <w:t>.</w:t>
      </w:r>
    </w:p>
    <w:p>
      <w:pPr>
        <w:spacing w:before="0" w:after="0" w:line="480"/>
        <w:ind w:left="120"/>
        <w:jc w:val="left"/>
      </w:pPr>
      <w:r>
        <w:rPr>
          <w:rFonts w:ascii="Times New Roman" w:hAnsi="Times New Roman"/>
          <w:b w:val="false"/>
          <w:i w:val="false"/>
          <w:color w:val="000000"/>
          <w:sz w:val="24"/>
        </w:rPr>
        <w:t>    </w:t>
      </w:r>
      <w:r>
        <w:rPr>
          <w:rFonts w:ascii="Times New Roman" w:hAnsi="Times New Roman"/>
          <w:b w:val="false"/>
          <w:i w:val="false"/>
          <w:color w:val="000000"/>
          <w:sz w:val="24"/>
        </w:rPr>
        <w:t>ITEM 4.</w:t>
      </w:r>
      <w:r>
        <w:rPr>
          <w:rFonts w:ascii="Times New Roman" w:hAnsi="Times New Roman"/>
          <w:b w:val="false"/>
          <w:i w:val="false"/>
          <w:color w:val="000000"/>
          <w:sz w:val="24"/>
        </w:rPr>
        <w:t>  </w:t>
      </w:r>
      <w:r>
        <w:rPr>
          <w:rFonts w:ascii="Times New Roman" w:hAnsi="Times New Roman"/>
          <w:b w:val="false"/>
          <w:i w:val="false"/>
          <w:color w:val="000000"/>
          <w:sz w:val="24"/>
        </w:rPr>
        <w:t xml:space="preserve">Rescind and reserve </w:t>
      </w:r>
      <w:r>
        <w:rPr>
          <w:rFonts w:ascii="Times New Roman" w:hAnsi="Times New Roman"/>
          <w:b/>
          <w:i w:val="false"/>
          <w:color w:val="000000"/>
          <w:sz w:val="24"/>
        </w:rPr>
        <w:t>201—Chapter 43</w:t>
      </w:r>
      <w:r>
        <w:rPr>
          <w:rFonts w:ascii="Times New Roman" w:hAnsi="Times New Roman"/>
          <w:b w:val="false"/>
          <w:i w:val="false"/>
          <w:color w:val="000000"/>
          <w:sz w:val="24"/>
        </w:rPr>
        <w:t>.</w:t>
      </w:r>
    </w:p>
    <w:p>
      <w:pPr>
        <w:spacing w:before="0" w:after="0" w:line="480"/>
        <w:ind w:left="120"/>
        <w:jc w:val="left"/>
      </w:pPr>
      <w:r>
        <w:rPr>
          <w:rFonts w:ascii="Times New Roman" w:hAnsi="Times New Roman"/>
          <w:b w:val="false"/>
          <w:i w:val="false"/>
          <w:color w:val="000000"/>
          <w:sz w:val="24"/>
        </w:rPr>
        <w:t>    </w:t>
      </w:r>
      <w:r>
        <w:rPr>
          <w:rFonts w:ascii="Times New Roman" w:hAnsi="Times New Roman"/>
          <w:b w:val="false"/>
          <w:i w:val="false"/>
          <w:color w:val="000000"/>
          <w:sz w:val="24"/>
        </w:rPr>
        <w:t>ITEM 5.</w:t>
      </w:r>
      <w:r>
        <w:rPr>
          <w:rFonts w:ascii="Times New Roman" w:hAnsi="Times New Roman"/>
          <w:b w:val="false"/>
          <w:i w:val="false"/>
          <w:color w:val="000000"/>
          <w:sz w:val="24"/>
        </w:rPr>
        <w:t>  </w:t>
      </w:r>
      <w:r>
        <w:rPr>
          <w:rFonts w:ascii="Times New Roman" w:hAnsi="Times New Roman"/>
          <w:b w:val="false"/>
          <w:i w:val="false"/>
          <w:color w:val="000000"/>
          <w:sz w:val="24"/>
        </w:rPr>
        <w:t xml:space="preserve">Rescind and reserve </w:t>
      </w:r>
      <w:r>
        <w:rPr>
          <w:rFonts w:ascii="Times New Roman" w:hAnsi="Times New Roman"/>
          <w:b/>
          <w:i w:val="false"/>
          <w:color w:val="000000"/>
          <w:sz w:val="24"/>
        </w:rPr>
        <w:t>201—Chapter 44</w:t>
      </w:r>
      <w:r>
        <w:rPr>
          <w:rFonts w:ascii="Times New Roman" w:hAnsi="Times New Roman"/>
          <w:b w:val="false"/>
          <w:i w:val="false"/>
          <w:color w:val="000000"/>
          <w:sz w:val="24"/>
        </w:rPr>
        <w:t>.</w:t>
      </w:r>
    </w:p>
    <w:p>
      <w:pPr>
        <w:spacing w:before="0" w:after="0" w:line="480"/>
        <w:ind w:left="120"/>
        <w:jc w:val="left"/>
      </w:pPr>
      <w:r>
        <w:rPr>
          <w:rFonts w:ascii="Times New Roman" w:hAnsi="Times New Roman"/>
          <w:b w:val="false"/>
          <w:i w:val="false"/>
          <w:color w:val="000000"/>
          <w:sz w:val="24"/>
        </w:rPr>
        <w:t>    </w:t>
      </w:r>
      <w:r>
        <w:rPr>
          <w:rFonts w:ascii="Times New Roman" w:hAnsi="Times New Roman"/>
          <w:b w:val="false"/>
          <w:i w:val="false"/>
          <w:color w:val="000000"/>
          <w:sz w:val="24"/>
        </w:rPr>
        <w:t>ITEM 6.</w:t>
      </w:r>
      <w:r>
        <w:rPr>
          <w:rFonts w:ascii="Times New Roman" w:hAnsi="Times New Roman"/>
          <w:b w:val="false"/>
          <w:i w:val="false"/>
          <w:color w:val="000000"/>
          <w:sz w:val="24"/>
        </w:rPr>
        <w:t>  </w:t>
      </w:r>
      <w:r>
        <w:rPr>
          <w:rFonts w:ascii="Times New Roman" w:hAnsi="Times New Roman"/>
          <w:b w:val="false"/>
          <w:i w:val="false"/>
          <w:color w:val="000000"/>
          <w:sz w:val="24"/>
        </w:rPr>
        <w:t xml:space="preserve">Rescind and reserve </w:t>
      </w:r>
      <w:r>
        <w:rPr>
          <w:rFonts w:ascii="Times New Roman" w:hAnsi="Times New Roman"/>
          <w:b/>
          <w:i w:val="false"/>
          <w:color w:val="000000"/>
          <w:sz w:val="24"/>
        </w:rPr>
        <w:t>201—Chapter 45</w:t>
      </w:r>
      <w:r>
        <w:rPr>
          <w:rFonts w:ascii="Times New Roman" w:hAnsi="Times New Roman"/>
          <w:b w:val="false"/>
          <w:i w:val="false"/>
          <w:color w:val="000000"/>
          <w:sz w:val="24"/>
        </w:rPr>
        <w:t>.</w:t>
      </w:r>
    </w:p>
    <w:p>
      <w:pPr>
        <w:spacing w:before="0" w:after="0" w:line="480"/>
        <w:ind w:left="120"/>
        <w:jc w:val="left"/>
      </w:pPr>
      <w:r>
        <w:rPr>
          <w:rFonts w:ascii="Times New Roman" w:hAnsi="Times New Roman"/>
          <w:b w:val="false"/>
          <w:i w:val="false"/>
          <w:color w:val="000000"/>
          <w:sz w:val="24"/>
        </w:rPr>
        <w:t>    </w:t>
      </w:r>
      <w:r>
        <w:rPr>
          <w:rFonts w:ascii="Times New Roman" w:hAnsi="Times New Roman"/>
          <w:b w:val="false"/>
          <w:i w:val="false"/>
          <w:color w:val="000000"/>
          <w:sz w:val="24"/>
        </w:rPr>
        <w:t>ITEM 7.</w:t>
      </w:r>
      <w:r>
        <w:rPr>
          <w:rFonts w:ascii="Times New Roman" w:hAnsi="Times New Roman"/>
          <w:b w:val="false"/>
          <w:i w:val="false"/>
          <w:color w:val="000000"/>
          <w:sz w:val="24"/>
        </w:rPr>
        <w:t>  </w:t>
      </w:r>
      <w:r>
        <w:rPr>
          <w:rFonts w:ascii="Times New Roman" w:hAnsi="Times New Roman"/>
          <w:b w:val="false"/>
          <w:i w:val="false"/>
          <w:color w:val="000000"/>
          <w:sz w:val="24"/>
        </w:rPr>
        <w:t xml:space="preserve">Rescind and reserve </w:t>
      </w:r>
      <w:r>
        <w:rPr>
          <w:rFonts w:ascii="Times New Roman" w:hAnsi="Times New Roman"/>
          <w:b/>
          <w:i w:val="false"/>
          <w:color w:val="000000"/>
          <w:sz w:val="24"/>
        </w:rPr>
        <w:t>201—Chapter 47</w:t>
      </w:r>
      <w:r>
        <w:rPr>
          <w:rFonts w:ascii="Times New Roman" w:hAnsi="Times New Roman"/>
          <w:b w:val="false"/>
          <w:i w:val="false"/>
          <w:color w:val="000000"/>
          <w:sz w:val="24"/>
        </w:rPr>
        <w:t>.</w:t>
      </w:r>
    </w:p>
    <w:p>
      <w:pPr>
        <w:spacing w:before="0" w:after="0" w:line="480"/>
        <w:ind w:left="120"/>
        <w:jc w:val="left"/>
      </w:pPr>
      <w:bookmarkStart w:name="lastARC" w:id="2"/>
      <w:bookmarkEnd w:id="2"/>
    </w:p>
    <w:sectPr>
      <w:footerReference r:id="rId106"/>
      <w:pgSz w:w="11907" w:h="16839" w:code="9"/>
      <w:pgMar w:top="1440" w:right="1440" w:bottom="1440" w:left="1440"/>
    </w:sectPr>
  </w:body>
</w:document>
</file>

<file path=word/footer.xml><?xml version="1.0" encoding="utf-8"?>
<w:ftr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mailto:jen.rathje1@iowa.gov" Type="http://schemas.openxmlformats.org/officeDocument/2006/relationships/hyperlink" Id="rId4"/>
    <Relationship TargetMode="External" Target="http://meet.google.com/ahi-ycey-mmc" Type="http://schemas.openxmlformats.org/officeDocument/2006/relationships/hyperlink" Id="rId5"/>
    <Relationship TargetMode="External" Target="http://meet.google.com/sqq-hehw-aqh" Type="http://schemas.openxmlformats.org/officeDocument/2006/relationships/hyperlink" Id="rId6"/>
    <Relationship TargetMode="External" Target="https://www.legis.iowa.gov/committees/meetings/meetingsListComm?groupID=705&amp;ga=91" Type="http://schemas.openxmlformats.org/officeDocument/2006/relationships/hyperlink" Id="rId7"/>
    <Relationship TargetMode="External" Target="https://www.legis.iowa.gov/docs/ico/chapter/907.pdf" Type="http://schemas.openxmlformats.org/officeDocument/2006/relationships/hyperlink" Id="rId8"/>
    <Relationship TargetMode="External" Target="https://www.legis.iowa.gov/docs/ico/chapter/910.pdf" Type="http://schemas.openxmlformats.org/officeDocument/2006/relationships/hyperlink" Id="rId9"/>
    <Relationship TargetMode="External" Target="https://www.legis.iowa.gov/docs/ico/chapter/907.6.pdf" Type="http://schemas.openxmlformats.org/officeDocument/2006/relationships/hyperlink" Id="rId10"/>
    <Relationship TargetMode="External" Target="https://www.legis.iowa.gov/docs/ico/chapter/904.101.pdf" Type="http://schemas.openxmlformats.org/officeDocument/2006/relationships/hyperlink" Id="rId11"/>
    <Relationship TargetMode="External" Target="https://www.legis.iowa.gov/docs/ico/chapter/904.101.pdf" Type="http://schemas.openxmlformats.org/officeDocument/2006/relationships/hyperlink" Id="rId12"/>
    <Relationship TargetMode="External" Target="https://www.legis.iowa.gov/docs/ico/chapter/904.101.pdf" Type="http://schemas.openxmlformats.org/officeDocument/2006/relationships/hyperlink" Id="rId13"/>
    <Relationship TargetMode="External" Target="https://www.legis.iowa.gov/docs/ico/chapter/906.1.pdf" Type="http://schemas.openxmlformats.org/officeDocument/2006/relationships/hyperlink" Id="rId14"/>
    <Relationship TargetMode="External" Target="https://www.legis.iowa.gov/docs/ico/chapter/906.11.pdf" Type="http://schemas.openxmlformats.org/officeDocument/2006/relationships/hyperlink" Id="rId15"/>
    <Relationship TargetMode="External" Target="https://www.legis.iowa.gov/docs/ico/chapter/901.2.pdf" Type="http://schemas.openxmlformats.org/officeDocument/2006/relationships/hyperlink" Id="rId16"/>
    <Relationship TargetMode="External" Target="https://www.legis.iowa.gov/docs/ico/chapter/901.3.pdf" Type="http://schemas.openxmlformats.org/officeDocument/2006/relationships/hyperlink" Id="rId17"/>
    <Relationship TargetMode="External" Target="https://www.legis.iowa.gov/docs/ico/chapter/811.2.pdf" Type="http://schemas.openxmlformats.org/officeDocument/2006/relationships/hyperlink" Id="rId18"/>
    <Relationship TargetMode="External" Target="https://www.legis.iowa.gov/docs/ico/chapter/907.1.pdf" Type="http://schemas.openxmlformats.org/officeDocument/2006/relationships/hyperlink" Id="rId19"/>
    <Relationship TargetMode="External" Target="https://www.legis.iowa.gov/docs/ico/chapter/907.6.pdf" Type="http://schemas.openxmlformats.org/officeDocument/2006/relationships/hyperlink" Id="rId20"/>
    <Relationship TargetMode="External" Target="https://www.legis.iowa.gov/docs/ico/chapter/907.2.pdf" Type="http://schemas.openxmlformats.org/officeDocument/2006/relationships/hyperlink" Id="rId21"/>
    <Relationship TargetMode="External" Target="https://www.legis.iowa.gov/docs/ico/chapter/910.1.pdf" Type="http://schemas.openxmlformats.org/officeDocument/2006/relationships/hyperlink" Id="rId22"/>
    <Relationship TargetMode="External" Target="https://www.legis.iowa.gov/docs/ico/chapter/907.8.pdf" Type="http://schemas.openxmlformats.org/officeDocument/2006/relationships/hyperlink" Id="rId23"/>
    <Relationship TargetMode="External" Target="https://www.legis.iowa.gov/docs/ico/chapter/904.108.pdf" Type="http://schemas.openxmlformats.org/officeDocument/2006/relationships/hyperlink" Id="rId24"/>
    <Relationship TargetMode="External" Target="https://www.legis.iowa.gov/docs/ico/chapter/904.108.pdf" Type="http://schemas.openxmlformats.org/officeDocument/2006/relationships/hyperlink" Id="rId25"/>
    <Relationship TargetMode="External" Target="https://www.legis.iowa.gov/docs/ico/chapter/904.108.pdf" Type="http://schemas.openxmlformats.org/officeDocument/2006/relationships/hyperlink" Id="rId26"/>
    <Relationship TargetMode="External" Target="https://www.legis.iowa.gov/docs/ico/chapter/904.108.pdf" Type="http://schemas.openxmlformats.org/officeDocument/2006/relationships/hyperlink" Id="rId27"/>
    <Relationship TargetMode="External" Target="https://www.legis.iowa.gov/docs/ico/chapter/910.pdf" Type="http://schemas.openxmlformats.org/officeDocument/2006/relationships/hyperlink" Id="rId28"/>
    <Relationship TargetMode="External" Target="https://www.legis.iowa.gov/docs/ico/chapter/910.5.pdf" Type="http://schemas.openxmlformats.org/officeDocument/2006/relationships/hyperlink" Id="rId29"/>
    <Relationship TargetMode="External" Target="https://www.legis.iowa.gov/docs/ico/chapter/907.8.pdf" Type="http://schemas.openxmlformats.org/officeDocument/2006/relationships/hyperlink" Id="rId30"/>
    <Relationship TargetMode="External" Target="https://www.legis.iowa.gov/docs/ico/chapter/907.8.pdf" Type="http://schemas.openxmlformats.org/officeDocument/2006/relationships/hyperlink" Id="rId31"/>
    <Relationship TargetMode="External" Target="https://www.legis.iowa.gov/docs/ico/chapter/910.5.pdf" Type="http://schemas.openxmlformats.org/officeDocument/2006/relationships/hyperlink" Id="rId32"/>
    <Relationship TargetMode="External" Target="https://www.legis.iowa.gov/docs/ico/chapter/904.909.pdf" Type="http://schemas.openxmlformats.org/officeDocument/2006/relationships/hyperlink" Id="rId33"/>
    <Relationship TargetMode="External" Target="https://www.legis.iowa.gov/docs/ico/chapter/906.18.pdf" Type="http://schemas.openxmlformats.org/officeDocument/2006/relationships/hyperlink" Id="rId34"/>
    <Relationship TargetMode="External" Target="https://www.legis.iowa.gov/docs/ico/chapter/904.909.pdf" Type="http://schemas.openxmlformats.org/officeDocument/2006/relationships/hyperlink" Id="rId35"/>
    <Relationship TargetMode="External" Target="https://www.legis.iowa.gov/docs/ico/chapter/906.18.pdf" Type="http://schemas.openxmlformats.org/officeDocument/2006/relationships/hyperlink" Id="rId36"/>
    <Relationship TargetMode="External" Target="https://www.legis.iowa.gov/docs/ico/chapter/80D.pdf" Type="http://schemas.openxmlformats.org/officeDocument/2006/relationships/hyperlink" Id="rId37"/>
    <Relationship TargetMode="External" Target="https://www.legis.iowa.gov/docs/ico/chapter/80D.pdf" Type="http://schemas.openxmlformats.org/officeDocument/2006/relationships/hyperlink" Id="rId38"/>
    <Relationship TargetMode="External" Target="https://www.legis.iowa.gov/docs/ico/chapter/904.108.pdf" Type="http://schemas.openxmlformats.org/officeDocument/2006/relationships/hyperlink" Id="rId39"/>
    <Relationship TargetMode="External" Target="https://www.legis.iowa.gov/docs/ico/chapter/811.2.pdf" Type="http://schemas.openxmlformats.org/officeDocument/2006/relationships/hyperlink" Id="rId40"/>
    <Relationship TargetMode="External" Target="https://www.legis.iowa.gov/docs/iac/rule/201.40.2.pdf" Type="http://schemas.openxmlformats.org/officeDocument/2006/relationships/hyperlink" Id="rId41"/>
    <Relationship TargetMode="External" Target="https://www.legis.iowa.gov/docs/iac/rule/201.40.3.pdf" Type="http://schemas.openxmlformats.org/officeDocument/2006/relationships/hyperlink" Id="rId42"/>
    <Relationship TargetMode="External" Target="https://www.legis.iowa.gov/docs/ico/chapter/901.3.pdf" Type="http://schemas.openxmlformats.org/officeDocument/2006/relationships/hyperlink" Id="rId43"/>
    <Relationship TargetMode="External" Target="https://www.legis.iowa.gov/docs/ico/chapter/901.4.pdf" Type="http://schemas.openxmlformats.org/officeDocument/2006/relationships/hyperlink" Id="rId44"/>
    <Relationship TargetMode="External" Target="https://www.legis.iowa.gov/docs/ico/chapter/811.pdf" Type="http://schemas.openxmlformats.org/officeDocument/2006/relationships/hyperlink" Id="rId45"/>
    <Relationship TargetMode="External" Target="https://www.legis.iowa.gov/docs/ico/chapter/901.pdf" Type="http://schemas.openxmlformats.org/officeDocument/2006/relationships/hyperlink" Id="rId46"/>
    <Relationship TargetMode="External" Target="https://www.legis.iowa.gov/docs/ico/chapter/904.108.pdf" Type="http://schemas.openxmlformats.org/officeDocument/2006/relationships/hyperlink" Id="rId47"/>
    <Relationship TargetMode="External" Target="https://www.legis.iowa.gov/docs/iac/rule/201.40.4.pdf" Type="http://schemas.openxmlformats.org/officeDocument/2006/relationships/hyperlink" Id="rId48"/>
    <Relationship TargetMode="External" Target="https://www.legis.iowa.gov/docs/iac/rule/201.40.2.pdf" Type="http://schemas.openxmlformats.org/officeDocument/2006/relationships/hyperlink" Id="rId49"/>
    <Relationship TargetMode="External" Target="https://www.legis.iowa.gov/docs/iac/rule/201.40.3.pdf" Type="http://schemas.openxmlformats.org/officeDocument/2006/relationships/hyperlink" Id="rId50"/>
    <Relationship TargetMode="External" Target="https://www.legis.iowa.gov/docs/ico/chapter/910.pdf" Type="http://schemas.openxmlformats.org/officeDocument/2006/relationships/hyperlink" Id="rId51"/>
    <Relationship TargetMode="External" Target="https://www.legis.iowa.gov/docs/iac/rule/201.40.5.pdf" Type="http://schemas.openxmlformats.org/officeDocument/2006/relationships/hyperlink" Id="rId52"/>
    <Relationship TargetMode="External" Target="https://www.legis.iowa.gov/docs/ico/chapter/907.pdf" Type="http://schemas.openxmlformats.org/officeDocument/2006/relationships/hyperlink" Id="rId53"/>
    <Relationship TargetMode="External" Target="https://www.legis.iowa.gov/docs/ico/chapter/910.pdf" Type="http://schemas.openxmlformats.org/officeDocument/2006/relationships/hyperlink" Id="rId54"/>
    <Relationship TargetMode="External" Target="https://www.legis.iowa.gov/docs/ico/chapter/904.912.pdf" Type="http://schemas.openxmlformats.org/officeDocument/2006/relationships/hyperlink" Id="rId55"/>
    <Relationship TargetMode="External" Target="https://www.legis.iowa.gov/docs/ico/chapter/907.pdf" Type="http://schemas.openxmlformats.org/officeDocument/2006/relationships/hyperlink" Id="rId56"/>
    <Relationship TargetMode="External" Target="https://www.legis.iowa.gov/docs/ico/chapter/904.108.pdf" Type="http://schemas.openxmlformats.org/officeDocument/2006/relationships/hyperlink" Id="rId57"/>
    <Relationship TargetMode="External" Target="https://www.legis.iowa.gov/docs/ico/chapter/908.11.pdf" Type="http://schemas.openxmlformats.org/officeDocument/2006/relationships/hyperlink" Id="rId58"/>
    <Relationship TargetMode="External" Target="https://www.legis.iowa.gov/docs/ico/chapter/910.5.pdf" Type="http://schemas.openxmlformats.org/officeDocument/2006/relationships/hyperlink" Id="rId59"/>
    <Relationship TargetMode="External" Target="https://www.legis.iowa.gov/docs/ico/chapter/904.108.pdf" Type="http://schemas.openxmlformats.org/officeDocument/2006/relationships/hyperlink" Id="rId60"/>
    <Relationship TargetMode="External" Target="https://www.legis.iowa.gov/docs/ico/chapter/906.9.pdf" Type="http://schemas.openxmlformats.org/officeDocument/2006/relationships/hyperlink" Id="rId61"/>
    <Relationship TargetMode="External" Target="https://www.legis.iowa.gov/docs/iac/rule/201.40.2.pdf" Type="http://schemas.openxmlformats.org/officeDocument/2006/relationships/hyperlink" Id="rId62"/>
    <Relationship TargetMode="External" Target="https://www.legis.iowa.gov/docs/ico/chapter/910.pdf" Type="http://schemas.openxmlformats.org/officeDocument/2006/relationships/hyperlink" Id="rId63"/>
    <Relationship TargetMode="External" Target="https://www.legis.iowa.gov/docs/iac/rule/201.40.5.pdf" Type="http://schemas.openxmlformats.org/officeDocument/2006/relationships/hyperlink" Id="rId64"/>
    <Relationship TargetMode="External" Target="https://www.legis.iowa.gov/docs/iac/rule/205.11.5.pdf" Type="http://schemas.openxmlformats.org/officeDocument/2006/relationships/hyperlink" Id="rId65"/>
    <Relationship TargetMode="External" Target="https://www.legis.iowa.gov/docs/iac/rule/205.11.6.pdf" Type="http://schemas.openxmlformats.org/officeDocument/2006/relationships/hyperlink" Id="rId66"/>
    <Relationship TargetMode="External" Target="https://www.legis.iowa.gov/docs/ico/chapter/908.1.pdf" Type="http://schemas.openxmlformats.org/officeDocument/2006/relationships/hyperlink" Id="rId67"/>
    <Relationship TargetMode="External" Target="https://www.legis.iowa.gov/docs/ico/chapter/908.2.pdf" Type="http://schemas.openxmlformats.org/officeDocument/2006/relationships/hyperlink" Id="rId68"/>
    <Relationship TargetMode="External" Target="https://www.legis.iowa.gov/docs/ico/chapter/906.15.pdf" Type="http://schemas.openxmlformats.org/officeDocument/2006/relationships/hyperlink" Id="rId69"/>
    <Relationship TargetMode="External" Target="https://www.legis.iowa.gov/docs/iac/chapter/205.12.pdf" Type="http://schemas.openxmlformats.org/officeDocument/2006/relationships/hyperlink" Id="rId70"/>
    <Relationship TargetMode="External" Target="https://www.legis.iowa.gov/docs/ico/chapter/904.912.pdf" Type="http://schemas.openxmlformats.org/officeDocument/2006/relationships/hyperlink" Id="rId71"/>
    <Relationship TargetMode="External" Target="https://www.legis.iowa.gov/docs/ico/chapter/904.108.pdf" Type="http://schemas.openxmlformats.org/officeDocument/2006/relationships/hyperlink" Id="rId72"/>
    <Relationship TargetMode="External" Target="https://www.legis.iowa.gov/docs/ico/chapter/904.912.pdf" Type="http://schemas.openxmlformats.org/officeDocument/2006/relationships/hyperlink" Id="rId73"/>
    <Relationship TargetMode="External" Target="https://www.legis.iowa.gov/docs/ico/chapter/906.9.pdf" Type="http://schemas.openxmlformats.org/officeDocument/2006/relationships/hyperlink" Id="rId74"/>
    <Relationship TargetMode="External" Target="https://www.legis.iowa.gov/docs/ico/chapter/906.11.pdf" Type="http://schemas.openxmlformats.org/officeDocument/2006/relationships/hyperlink" Id="rId75"/>
    <Relationship TargetMode="External" Target="https://www.legis.iowa.gov/docs/ico/chapter/906.15.pdf" Type="http://schemas.openxmlformats.org/officeDocument/2006/relationships/hyperlink" Id="rId76"/>
    <Relationship TargetMode="External" Target="https://www.legis.iowa.gov/docs/ico/chapter/906.16.pdf" Type="http://schemas.openxmlformats.org/officeDocument/2006/relationships/hyperlink" Id="rId77"/>
    <Relationship TargetMode="External" Target="https://www.legis.iowa.gov/docs/ico/chapter/908.1.pdf" Type="http://schemas.openxmlformats.org/officeDocument/2006/relationships/hyperlink" Id="rId78"/>
    <Relationship TargetMode="External" Target="https://www.legis.iowa.gov/docs/ico/chapter/908.2.pdf" Type="http://schemas.openxmlformats.org/officeDocument/2006/relationships/hyperlink" Id="rId79"/>
    <Relationship TargetMode="External" Target="https://www.legis.iowa.gov/docs/ico/chapter/910.5.pdf" Type="http://schemas.openxmlformats.org/officeDocument/2006/relationships/hyperlink" Id="rId80"/>
    <Relationship TargetMode="External" Target="https://www.legis.iowa.gov/docs/iac/rule/201.40.2.pdf" Type="http://schemas.openxmlformats.org/officeDocument/2006/relationships/hyperlink" Id="rId81"/>
    <Relationship TargetMode="External" Target="https://www.legis.iowa.gov/docs/iac/rule/201.40.4.pdf" Type="http://schemas.openxmlformats.org/officeDocument/2006/relationships/hyperlink" Id="rId82"/>
    <Relationship TargetMode="External" Target="https://www.legis.iowa.gov/docs/iac/rule/201.40.3.pdf" Type="http://schemas.openxmlformats.org/officeDocument/2006/relationships/hyperlink" Id="rId83"/>
    <Relationship TargetMode="External" Target="https://www.legis.iowa.gov/docs/ico/chapter/907.3.pdf" Type="http://schemas.openxmlformats.org/officeDocument/2006/relationships/hyperlink" Id="rId84"/>
    <Relationship TargetMode="External" Target="https://www.legis.iowa.gov/docs/ico/chapter/904.pdf" Type="http://schemas.openxmlformats.org/officeDocument/2006/relationships/hyperlink" Id="rId85"/>
    <Relationship TargetMode="External" Target="https://www.legis.iowa.gov/docs/ico/chapter/908.pdf" Type="http://schemas.openxmlformats.org/officeDocument/2006/relationships/hyperlink" Id="rId86"/>
    <Relationship TargetMode="External" Target="https://www.legis.iowa.gov/docs/ico/chapter/910.pdf" Type="http://schemas.openxmlformats.org/officeDocument/2006/relationships/hyperlink" Id="rId87"/>
    <Relationship TargetMode="External" Target="https://www.legis.iowa.gov/docs/ico/chapter/321J.pdf" Type="http://schemas.openxmlformats.org/officeDocument/2006/relationships/hyperlink" Id="rId88"/>
    <Relationship TargetMode="External" Target="https://www.legis.iowa.gov/docs/iac/rule/201.40.6.pdf" Type="http://schemas.openxmlformats.org/officeDocument/2006/relationships/hyperlink" Id="rId89"/>
    <Relationship TargetMode="External" Target="https://www.legis.iowa.gov/docs/ico/chapter/910.pdf" Type="http://schemas.openxmlformats.org/officeDocument/2006/relationships/hyperlink" Id="rId90"/>
    <Relationship TargetMode="External" Target="https://www.legis.iowa.gov/docs/iac/rule/201.40.5.pdf" Type="http://schemas.openxmlformats.org/officeDocument/2006/relationships/hyperlink" Id="rId91"/>
    <Relationship TargetMode="External" Target="https://www.legis.iowa.gov/docs/ico/chapter/904.513.pdf" Type="http://schemas.openxmlformats.org/officeDocument/2006/relationships/hyperlink" Id="rId92"/>
    <Relationship TargetMode="External" Target="https://www.legis.iowa.gov/docs/ico/chapter/904.909.pdf" Type="http://schemas.openxmlformats.org/officeDocument/2006/relationships/hyperlink" Id="rId93"/>
    <Relationship TargetMode="External" Target="https://www.legis.iowa.gov/docs/ico/chapter/910.5.pdf" Type="http://schemas.openxmlformats.org/officeDocument/2006/relationships/hyperlink" Id="rId94"/>
    <Relationship TargetMode="External" Target="https://www.legis.iowa.gov/docs/iac/rule/201.40.11.pdf" Type="http://schemas.openxmlformats.org/officeDocument/2006/relationships/hyperlink" Id="rId95"/>
    <Relationship TargetMode="External" Target="https://www.legis.iowa.gov/docs/iac/rule/201.40.11.pdf" Type="http://schemas.openxmlformats.org/officeDocument/2006/relationships/hyperlink" Id="rId96"/>
    <Relationship TargetMode="External" Target="https://www.legis.iowa.gov/docs/ico/chapter/910.pdf" Type="http://schemas.openxmlformats.org/officeDocument/2006/relationships/hyperlink" Id="rId97"/>
    <Relationship TargetMode="External" Target="https://www.legis.iowa.gov/docs/iac/rule/201.40.5.pdf" Type="http://schemas.openxmlformats.org/officeDocument/2006/relationships/hyperlink" Id="rId98"/>
    <Relationship TargetMode="External" Target="https://www.legis.iowa.gov/docs/ico/chapter/904.905.pdf" Type="http://schemas.openxmlformats.org/officeDocument/2006/relationships/hyperlink" Id="rId99"/>
    <Relationship TargetMode="External" Target="https://www.legis.iowa.gov/docs/ico/chapter/904.908.pdf" Type="http://schemas.openxmlformats.org/officeDocument/2006/relationships/hyperlink" Id="rId100"/>
    <Relationship TargetMode="External" Target="https://www.legis.iowa.gov/docs/ico/chapter/719.4.pdf" Type="http://schemas.openxmlformats.org/officeDocument/2006/relationships/hyperlink" Id="rId101"/>
    <Relationship TargetMode="External" Target="https://www.legis.iowa.gov/docs/iac/rule/201.40.6.pdf" Type="http://schemas.openxmlformats.org/officeDocument/2006/relationships/hyperlink" Id="rId102"/>
    <Relationship TargetMode="External" Target="https://www.legis.iowa.gov/docs/ico/chapter/904.901.pdf" Type="http://schemas.openxmlformats.org/officeDocument/2006/relationships/hyperlink" Id="rId103"/>
    <Relationship TargetMode="External" Target="https://www.legis.iowa.gov/docs/ico/chapter/904.901.pdf" Type="http://schemas.openxmlformats.org/officeDocument/2006/relationships/hyperlink" Id="rId104"/>
    <Relationship TargetMode="External" Target="https://www.legis.iowa.gov/docs/ico/chapter/904.909.pdf" Type="http://schemas.openxmlformats.org/officeDocument/2006/relationships/hyperlink" Id="rId105"/>
    <Relationship Target="footer.xml" Type="http://schemas.openxmlformats.org/officeDocument/2006/relationships/footer" Id="rId106"/>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