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02D" w:id="1"/>
    <w:p>
      <w:pPr>
        <w:spacing w:before="0" w:after="0" w:line="480"/>
        <w:ind w:left="120"/>
        <w:jc w:val="right"/>
      </w:pPr>
      <w:r>
        <w:rPr>
          <w:rFonts w:ascii="Times New Roman" w:hAnsi="Times New Roman"/>
          <w:b/>
          <w:i w:val="false"/>
          <w:color w:val="000000"/>
          <w:sz w:val="28"/>
        </w:rPr>
        <w:t>ARC 0602D</w:t>
      </w:r>
    </w:p>
    <w:bookmarkEnd w:id="1"/>
    <w:p>
      <w:pPr>
        <w:pBdr>
          <w:top w:space="5"/>
        </w:pBdr>
        <w:spacing w:before="0" w:after="0" w:line="480"/>
        <w:ind w:left="120"/>
        <w:jc w:val="center"/>
      </w:pPr>
      <w:r>
        <w:rPr>
          <w:rFonts w:ascii="Times New Roman" w:hAnsi="Times New Roman"/>
          <w:b/>
          <w:i w:val="false"/>
          <w:color w:val="000000"/>
          <w:sz w:val="28"/>
        </w:rPr>
        <w:t>UTILITIES COMMISSION[199]</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citations and administrative corrections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Utilities Commission hereby proposes to amend Chapter 6, “Complaint Procedures,” Chapter 9, “Restoration of Agricultural Lands During and After Pipeline Construction,” Chapter 10, “Intrastate Gas Pipelines and Underground Gas Storage,” Chapter 11, “Electric Lines,” Chapter 13, “Hazardous Liquid Pipelines and Underground Storage,” Chapter 14, “Electronic Filing,” Chapter 15, “Cogeneration and Small Power Production,” Chapter 16, “Accounting,” Chapter 17, “Assessments,” Chapter 18, “Utility Records,” Chapter 20, “Service Supplied by Rate-Regulated Electric Utilities,” Chapter 24, “Location and Construction of Electric Power Generating Facilities,” Chapter 25, “Iowa Electrical Safety Code,” Chapter 26, “Rate Cases, Tariffs, and Rate Regulation Election Practice and Procedure,” Chapter 31, “Access to Affiliate Records, Requirements for Annual Filings, and Service and Asset Transfer Costing Standards,” Chapter 35, “Energy Efficiency and Demand Response Planning and Reporting for Rate-Regulated Natural Gas and Electric Utilities,” Chapter 39, “Universal Service,” Chapter 41, “Ratemaking Principles Proceeding,” Chapter 42, “Crossing of Railroad Rights-of-Way,” Chapter 45, “Electric Interconnection of Distributed Generation Facilities,” and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476, 479 and 479B and sections 17A.3, 17A.4, 17A.9, 474.4, 474.5, 476.1, 476.1B, 476.2, 476.73, 476.74, 476A.12, 478.19 and 478.20.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476A, 478, 479 and 479B and sections 17A.2 to 17A.4, 17A.5, 17A.6, 17A.7, 17A.9, 474.5, 476.1, 476.2, 476.3, 476.6, 476.7, 476.8, 476.20, 476.31, 476.33, 476.54, 476.66, 476.73, 476.74, 476.78, 476.83, 476.95B, 476.102, 478.18 through 478.20 and 479.29.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rulemaking is proposed to ensure that the Commission’s rules contain correct citations and grammar post-Executive Order 10 review. This rulemaking will help make utility regulation more efficient in Iowa. Additional amendments that help make utility regulation more efficient for the Commission and stakeholders are also being proposed. The Commission issued an order commencing rulemaking on August 21, 2026. The order is available on the Commission’s electronic filing system, </w:t>
      </w:r>
      <w:hyperlink r:id="rId4">
        <w:r>
          <w:rPr>
            <w:rStyle w:val="Hyperlink"/>
            <w:rFonts w:ascii="Times New Roman" w:hAnsi="Times New Roman"/>
            <w:b w:val="false"/>
            <w:i w:val="false"/>
            <w:color w:val="0000ff"/>
            <w:sz w:val="24"/>
          </w:rPr>
          <w:t>efs.iowa.gov</w:t>
        </w:r>
      </w:hyperlink>
      <w:r>
        <w:rPr>
          <w:rFonts w:ascii="Times New Roman" w:hAnsi="Times New Roman"/>
          <w:b w:val="false"/>
          <w:i w:val="false"/>
          <w:color w:val="000000"/>
          <w:sz w:val="24"/>
        </w:rPr>
        <w:t>, under Docket No. RMU-2025-0199.</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26,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is intended to correct citations and grammar following the Commission’s Executive Order 10 review.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Commission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645"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IT Support </w:t>
            </w:r>
            <w:r>
              <w:br/>
            </w:r>
            <w:r>
              <w:rPr>
                <w:rFonts w:ascii="Times New Roman" w:hAnsi="Times New Roman"/>
                <w:b w:val="false"/>
                <w:i w:val="false"/>
                <w:color w:val="000000"/>
                <w:sz w:val="14"/>
              </w:rPr>
              <w:t xml:space="preserve">Iowa Utilities Board </w:t>
            </w:r>
            <w:r>
              <w:br/>
            </w:r>
            <w:r>
              <w:rPr>
                <w:rFonts w:ascii="Times New Roman" w:hAnsi="Times New Roman"/>
                <w:b w:val="false"/>
                <w:i w:val="false"/>
                <w:color w:val="000000"/>
                <w:sz w:val="14"/>
              </w:rPr>
              <w:t xml:space="preserve">Phone: 515.725.7300 </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ITSupport@iub.iowa.gov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29, 2026</w:t>
            </w:r>
            <w:r>
              <w:br/>
            </w:r>
            <w:r>
              <w:rPr>
                <w:rFonts w:ascii="Times New Roman" w:hAnsi="Times New Roman"/>
                <w:b w:val="false"/>
                <w:i w:val="false"/>
                <w:color w:val="000000"/>
                <w:sz w:val="14"/>
              </w:rPr>
              <w:t xml:space="preserve"> 9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Commission Hearing Room</w:t>
            </w:r>
            <w:r>
              <w:br/>
            </w:r>
            <w:r>
              <w:rPr>
                <w:rFonts w:ascii="Times New Roman" w:hAnsi="Times New Roman"/>
                <w:b w:val="false"/>
                <w:i w:val="false"/>
                <w:color w:val="000000"/>
                <w:sz w:val="14"/>
              </w:rPr>
              <w:t xml:space="preserve"> 1375 East Court Avenue</w:t>
            </w:r>
            <w:r>
              <w:br/>
            </w:r>
            <w:r>
              <w:rPr>
                <w:rFonts w:ascii="Times New Roman" w:hAnsi="Times New Roman"/>
                <w:b w:val="false"/>
                <w:i w:val="false"/>
                <w:color w:val="000000"/>
                <w:sz w:val="14"/>
              </w:rPr>
              <w:t xml:space="preserve"> Des Moines, Iowa</w:t>
            </w:r>
            <w:r>
              <w:br/>
            </w:r>
            <w:r>
              <w:rPr>
                <w:rFonts w:ascii="Times New Roman" w:hAnsi="Times New Roman"/>
                <w:b w:val="false"/>
                <w:i w:val="false"/>
                <w:color w:val="000000"/>
                <w:sz w:val="14"/>
              </w:rPr>
              <w:t xml:space="preserve"> Also via Zoom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Commission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6.4(1)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6.4(1)</w:t>
      </w:r>
      <w:r>
        <w:rPr>
          <w:rFonts w:ascii="Times New Roman" w:hAnsi="Times New Roman"/>
          <w:b w:val="false"/>
          <w:i w:val="false"/>
          <w:color w:val="000000"/>
          <w:sz w:val="24"/>
        </w:rPr>
        <w:t> </w:t>
      </w:r>
      <w:r>
        <w:rPr>
          <w:rFonts w:ascii="Times New Roman" w:hAnsi="Times New Roman"/>
          <w:b w:val="false"/>
          <w:i w:val="false"/>
          <w:color w:val="000000"/>
          <w:sz w:val="24"/>
        </w:rPr>
        <w:t xml:space="preserve">After the utility’s response is received, commission staff may request additional information deemed necessary to complete the investigation and resolve the complaint. When all necessary information has been received and the investigation is complete, commission staff shall, within 30 days, send a letter with a proposed resolution of the complaint to the complainant, the utility, and the consumer advocate. Staff shall notify the complainant, the utility, and consumer advocate when the investigation is complete and the 30-day time period to issue a proposed resolution commences. </w:t>
      </w:r>
      <w:r>
        <w:rPr>
          <w:rFonts w:ascii="Times New Roman" w:hAnsi="Times New Roman"/>
          <w:b w:val="false"/>
          <w:i w:val="false"/>
          <w:color w:val="000000"/>
          <w:sz w:val="24"/>
          <w:u w:val="single"/>
        </w:rPr>
        <w:t>A staff finding that the utility subject to a complaint has properly followed Iowa law, the commission’s rules, the company’s tariff, or a combination thereof, or a finding that the company has resolved the complaint, may be considered sufficient to satisfy the proposed resolution requirement.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199—6.6(476)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199—6.6</w:t>
      </w:r>
      <w:r>
        <w:rPr>
          <w:rFonts w:ascii="Times New Roman" w:hAnsi="Times New Roman"/>
          <w:b/>
          <w:i w:val="false"/>
          <w:color w:val="000000"/>
          <w:sz w:val="24"/>
        </w:rPr>
        <w:t xml:space="preserve">(476) </w:t>
      </w:r>
      <w:r>
        <w:rPr>
          <w:rFonts w:ascii="Times New Roman" w:hAnsi="Times New Roman"/>
          <w:b/>
          <w:i w:val="false"/>
          <w:color w:val="000000"/>
          <w:sz w:val="24"/>
        </w:rPr>
        <w:t xml:space="preserve">Applicable procedures. </w:t>
      </w:r>
      <w:r>
        <w:rPr>
          <w:rFonts w:ascii="Times New Roman" w:hAnsi="Times New Roman"/>
          <w:b w:val="false"/>
          <w:i w:val="false"/>
          <w:color w:val="000000"/>
          <w:sz w:val="24"/>
        </w:rPr>
        <w:t xml:space="preserve">When the complaint is docketed as a formal proceeding, the procedures set forth in </w:t>
      </w:r>
      <w:hyperlink r:id="rId7">
        <w:r>
          <w:rPr>
            <w:rStyle w:val="Hyperlink"/>
            <w:rFonts w:ascii="Times New Roman" w:hAnsi="Times New Roman"/>
            <w:b w:val="false"/>
            <w:i w:val="false"/>
            <w:strike/>
            <w:color w:val="000000"/>
            <w:sz w:val="24"/>
          </w:rPr>
          <w:t>199—Chapter 7</w:t>
        </w:r>
      </w:hyperlink>
      <w:r>
        <w:rPr>
          <w:rFonts w:ascii="Times New Roman" w:hAnsi="Times New Roman"/>
          <w:b w:val="false"/>
          <w:i w:val="false"/>
          <w:color w:val="000000"/>
          <w:sz w:val="24"/>
          <w:u w:val="single"/>
        </w:rPr>
        <w:t> </w:t>
      </w:r>
      <w:hyperlink r:id="rId8">
        <w:r>
          <w:rPr>
            <w:rStyle w:val="Hyperlink"/>
            <w:rFonts w:ascii="Times New Roman" w:hAnsi="Times New Roman"/>
            <w:b w:val="false"/>
            <w:i w:val="false"/>
            <w:color w:val="000000"/>
            <w:sz w:val="24"/>
            <w:u w:val="single"/>
          </w:rPr>
          <w:t>199—Chapter 2506</w:t>
        </w:r>
      </w:hyperlink>
      <w:r>
        <w:rPr>
          <w:rFonts w:ascii="Times New Roman" w:hAnsi="Times New Roman"/>
          <w:b w:val="false"/>
          <w:i w:val="false"/>
          <w:color w:val="000000"/>
          <w:sz w:val="24"/>
        </w:rPr>
        <w:t xml:space="preserve"> will apply.</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199—6.7(476)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199—6.7</w:t>
      </w:r>
      <w:r>
        <w:rPr>
          <w:rFonts w:ascii="Times New Roman" w:hAnsi="Times New Roman"/>
          <w:b/>
          <w:i w:val="false"/>
          <w:color w:val="000000"/>
          <w:sz w:val="24"/>
        </w:rPr>
        <w:t xml:space="preserve">(476) </w:t>
      </w:r>
      <w:r>
        <w:rPr>
          <w:rFonts w:ascii="Times New Roman" w:hAnsi="Times New Roman"/>
          <w:b/>
          <w:i w:val="false"/>
          <w:color w:val="000000"/>
          <w:sz w:val="24"/>
        </w:rPr>
        <w:t xml:space="preserve">Record. </w:t>
      </w:r>
      <w:r>
        <w:rPr>
          <w:rFonts w:ascii="Times New Roman" w:hAnsi="Times New Roman"/>
          <w:b w:val="false"/>
          <w:i w:val="false"/>
          <w:color w:val="000000"/>
          <w:sz w:val="24"/>
        </w:rPr>
        <w:t xml:space="preserve">The written complaint and all information obtained during the informal investigation shall be uploaded into the electronic filing system formal complaint docket and be made part of the record in the formal complaint proceeding. The information from the informal complaint investigation shall be redacted pursuant to requirements in </w:t>
      </w:r>
      <w:hyperlink r:id="rId9">
        <w:r>
          <w:rPr>
            <w:rStyle w:val="Hyperlink"/>
            <w:rFonts w:ascii="Times New Roman" w:hAnsi="Times New Roman"/>
            <w:b w:val="false"/>
            <w:i w:val="false"/>
            <w:strike/>
            <w:color w:val="000000"/>
            <w:sz w:val="24"/>
          </w:rPr>
          <w:t>199—Chapter 7</w:t>
        </w:r>
      </w:hyperlink>
      <w:r>
        <w:rPr>
          <w:rFonts w:ascii="Times New Roman" w:hAnsi="Times New Roman"/>
          <w:b w:val="false"/>
          <w:i w:val="false"/>
          <w:color w:val="000000"/>
          <w:sz w:val="24"/>
          <w:u w:val="single"/>
        </w:rPr>
        <w:t> </w:t>
      </w:r>
      <w:hyperlink r:id="rId10">
        <w:r>
          <w:rPr>
            <w:rStyle w:val="Hyperlink"/>
            <w:rFonts w:ascii="Times New Roman" w:hAnsi="Times New Roman"/>
            <w:b w:val="false"/>
            <w:i w:val="false"/>
            <w:color w:val="000000"/>
            <w:sz w:val="24"/>
            <w:u w:val="single"/>
          </w:rPr>
          <w:t>199—Chapter 2506</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199—6.8(476)</w:t>
      </w:r>
      <w:r>
        <w:rPr>
          <w:rFonts w:ascii="Times New Roman" w:hAnsi="Times New Roman"/>
          <w:b w:val="false"/>
          <w:i w:val="false"/>
          <w:color w:val="000000"/>
          <w:sz w:val="24"/>
        </w:rPr>
        <w:t>, introductory paragraph</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199—6.8</w:t>
      </w:r>
      <w:r>
        <w:rPr>
          <w:rFonts w:ascii="Times New Roman" w:hAnsi="Times New Roman"/>
          <w:b/>
          <w:i w:val="false"/>
          <w:color w:val="000000"/>
          <w:sz w:val="24"/>
        </w:rPr>
        <w:t xml:space="preserve">(476) </w:t>
      </w:r>
      <w:r>
        <w:rPr>
          <w:rFonts w:ascii="Times New Roman" w:hAnsi="Times New Roman"/>
          <w:b/>
          <w:i w:val="false"/>
          <w:color w:val="000000"/>
          <w:sz w:val="24"/>
        </w:rPr>
        <w:t xml:space="preserve">Special procedures for complaints alleging unauthorized changes in telecommunications services. </w:t>
      </w:r>
      <w:r>
        <w:rPr>
          <w:rFonts w:ascii="Times New Roman" w:hAnsi="Times New Roman"/>
          <w:b w:val="false"/>
          <w:i w:val="false"/>
          <w:color w:val="000000"/>
          <w:sz w:val="24"/>
        </w:rPr>
        <w:t xml:space="preserve">Notwithstanding the deregulation of a communications service or facility pursuant to Iowa Code section </w:t>
      </w:r>
      <w:hyperlink r:id="rId11">
        <w:r>
          <w:rPr>
            <w:rStyle w:val="Hyperlink"/>
            <w:rFonts w:ascii="Times New Roman" w:hAnsi="Times New Roman"/>
            <w:b w:val="false"/>
            <w:i w:val="false"/>
            <w:color w:val="000000"/>
            <w:sz w:val="24"/>
          </w:rPr>
          <w:t>476.1D</w:t>
        </w:r>
      </w:hyperlink>
      <w:r>
        <w:rPr>
          <w:rFonts w:ascii="Times New Roman" w:hAnsi="Times New Roman"/>
          <w:b w:val="false"/>
          <w:i w:val="false"/>
          <w:color w:val="000000"/>
          <w:sz w:val="24"/>
        </w:rPr>
        <w:t xml:space="preserve">, complaints alleging an unauthorized change in telecommunications service (more information is contained in </w:t>
      </w:r>
      <w:r>
        <w:rPr>
          <w:rFonts w:ascii="Times New Roman" w:hAnsi="Times New Roman"/>
          <w:b w:val="false"/>
          <w:i w:val="false"/>
          <w:strike/>
          <w:color w:val="000000"/>
          <w:sz w:val="24"/>
        </w:rPr>
        <w:t xml:space="preserve">the “Unauthorized changes in telecommunications service” rule in </w:t>
      </w:r>
      <w:hyperlink r:id="rId12">
        <w:r>
          <w:rPr>
            <w:rStyle w:val="Hyperlink"/>
            <w:rFonts w:ascii="Times New Roman" w:hAnsi="Times New Roman"/>
            <w:b w:val="false"/>
            <w:i w:val="false"/>
            <w:strike/>
            <w:color w:val="000000"/>
            <w:sz w:val="24"/>
          </w:rPr>
          <w:t>199—Chapter 22</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rule </w:t>
      </w:r>
      <w:hyperlink r:id="rId13">
        <w:r>
          <w:rPr>
            <w:rStyle w:val="Hyperlink"/>
            <w:rFonts w:ascii="Times New Roman" w:hAnsi="Times New Roman"/>
            <w:b w:val="false"/>
            <w:i w:val="false"/>
            <w:color w:val="000000"/>
            <w:sz w:val="24"/>
            <w:u w:val="single"/>
          </w:rPr>
          <w:t>199—22.9</w:t>
        </w:r>
      </w:hyperlink>
      <w:r>
        <w:rPr>
          <w:rFonts w:ascii="Times New Roman" w:hAnsi="Times New Roman"/>
          <w:b w:val="false"/>
          <w:i w:val="false"/>
          <w:color w:val="000000"/>
          <w:sz w:val="24"/>
          <w:u w:val="single"/>
        </w:rPr>
        <w:t>(476)</w:t>
      </w:r>
      <w:r>
        <w:rPr>
          <w:rFonts w:ascii="Times New Roman" w:hAnsi="Times New Roman"/>
          <w:b w:val="false"/>
          <w:i w:val="false"/>
          <w:color w:val="000000"/>
          <w:sz w:val="24"/>
        </w:rPr>
        <w:t>) will be processed pursuant to this chapter with the following additional or substituted procedures: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9.2(1)“d”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point of contact for landowner inquiries or claims as provided for in rule </w:t>
      </w:r>
      <w:hyperlink r:id="rId14">
        <w:r>
          <w:rPr>
            <w:rStyle w:val="Hyperlink"/>
            <w:rFonts w:ascii="Times New Roman" w:hAnsi="Times New Roman"/>
            <w:b w:val="false"/>
            <w:i w:val="false"/>
            <w:strike/>
            <w:color w:val="000000"/>
            <w:sz w:val="24"/>
          </w:rPr>
          <w:t>199—9.5</w:t>
        </w:r>
      </w:hyperlink>
      <w:r>
        <w:rPr>
          <w:rFonts w:ascii="Times New Roman" w:hAnsi="Times New Roman"/>
          <w:b w:val="false"/>
          <w:i w:val="false"/>
          <w:strike/>
          <w:color w:val="000000"/>
          <w:sz w:val="24"/>
        </w:rPr>
        <w:t>(479,479B)</w:t>
      </w:r>
      <w:r>
        <w:rPr>
          <w:rFonts w:ascii="Times New Roman" w:hAnsi="Times New Roman"/>
          <w:b w:val="false"/>
          <w:i w:val="false"/>
          <w:color w:val="000000"/>
          <w:sz w:val="24"/>
          <w:u w:val="single"/>
        </w:rPr>
        <w:t> </w:t>
      </w:r>
      <w:hyperlink r:id="rId15">
        <w:r>
          <w:rPr>
            <w:rStyle w:val="Hyperlink"/>
            <w:rFonts w:ascii="Times New Roman" w:hAnsi="Times New Roman"/>
            <w:b w:val="false"/>
            <w:i w:val="false"/>
            <w:color w:val="000000"/>
            <w:sz w:val="24"/>
            <w:u w:val="single"/>
          </w:rPr>
          <w:t>199—9.6</w:t>
        </w:r>
      </w:hyperlink>
      <w:r>
        <w:rPr>
          <w:rFonts w:ascii="Times New Roman" w:hAnsi="Times New Roman"/>
          <w:b w:val="false"/>
          <w:i w:val="false"/>
          <w:color w:val="000000"/>
          <w:sz w:val="24"/>
          <w:u w:val="single"/>
        </w:rPr>
        <w:t>(479,479B)</w:t>
      </w:r>
      <w:r>
        <w:rPr>
          <w:rFonts w:ascii="Times New Roman" w:hAnsi="Times New Roman"/>
          <w:b w:val="false"/>
          <w:i w:val="false"/>
          <w:color w:val="000000"/>
          <w:sz w:val="24"/>
        </w:rPr>
        <w:t xml:space="preserve">.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9.2(2)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9.2(2)</w:t>
      </w:r>
      <w:r>
        <w:rPr>
          <w:rFonts w:ascii="Times New Roman" w:hAnsi="Times New Roman"/>
          <w:b w:val="false"/>
          <w:i w:val="false"/>
          <w:color w:val="000000"/>
          <w:sz w:val="24"/>
        </w:rPr>
        <w:t> </w:t>
      </w:r>
      <w:r>
        <w:rPr>
          <w:rFonts w:ascii="Times New Roman" w:hAnsi="Times New Roman"/>
          <w:b w:val="false"/>
          <w:i/>
          <w:color w:val="000000"/>
          <w:sz w:val="24"/>
        </w:rPr>
        <w:t xml:space="preserve">Plan variations. </w:t>
      </w:r>
      <w:r>
        <w:rPr>
          <w:rFonts w:ascii="Times New Roman" w:hAnsi="Times New Roman"/>
          <w:b w:val="false"/>
          <w:i w:val="false"/>
          <w:color w:val="000000"/>
          <w:sz w:val="24"/>
        </w:rPr>
        <w:t xml:space="preserve">The commission may by waiver allow variations from the requirements in this chapter if the pipeline company requesting a waiver is able to satisfy the standards set forth in </w:t>
      </w:r>
      <w:r>
        <w:rPr>
          <w:rFonts w:ascii="Times New Roman" w:hAnsi="Times New Roman"/>
          <w:b w:val="false"/>
          <w:i w:val="false"/>
          <w:strike/>
          <w:color w:val="000000"/>
          <w:sz w:val="24"/>
        </w:rPr>
        <w:t xml:space="preserve">rule </w:t>
      </w:r>
      <w:hyperlink r:id="rId16">
        <w:r>
          <w:rPr>
            <w:rStyle w:val="Hyperlink"/>
            <w:rFonts w:ascii="Times New Roman" w:hAnsi="Times New Roman"/>
            <w:b w:val="false"/>
            <w:i w:val="false"/>
            <w:strike/>
            <w:color w:val="000000"/>
            <w:sz w:val="24"/>
          </w:rPr>
          <w:t>199—1.3</w:t>
        </w:r>
      </w:hyperlink>
      <w:r>
        <w:rPr>
          <w:rFonts w:ascii="Times New Roman" w:hAnsi="Times New Roman"/>
          <w:b w:val="false"/>
          <w:i w:val="false"/>
          <w:strike/>
          <w:color w:val="000000"/>
          <w:sz w:val="24"/>
        </w:rPr>
        <w:t>(17A,474,476)</w:t>
      </w:r>
      <w:r>
        <w:rPr>
          <w:rFonts w:ascii="Times New Roman" w:hAnsi="Times New Roman"/>
          <w:b w:val="false"/>
          <w:i w:val="false"/>
          <w:color w:val="000000"/>
          <w:sz w:val="24"/>
          <w:u w:val="single"/>
        </w:rPr>
        <w:t> </w:t>
      </w:r>
      <w:hyperlink r:id="rId17">
        <w:r>
          <w:rPr>
            <w:rStyle w:val="Hyperlink"/>
            <w:rFonts w:ascii="Times New Roman" w:hAnsi="Times New Roman"/>
            <w:b w:val="false"/>
            <w:i w:val="false"/>
            <w:color w:val="000000"/>
            <w:sz w:val="24"/>
            <w:u w:val="single"/>
          </w:rPr>
          <w:t>7—Chapter 2504</w:t>
        </w:r>
      </w:hyperlink>
      <w:r>
        <w:rPr>
          <w:rFonts w:ascii="Times New Roman" w:hAnsi="Times New Roman"/>
          <w:b w:val="false"/>
          <w:i w:val="false"/>
          <w:color w:val="000000"/>
          <w:sz w:val="24"/>
        </w:rPr>
        <w:t xml:space="preserve"> and if the alternative methods proposed by the pipeline company would restore the land to a condition as good as or better than provided for in this chapter.</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199—10.5(479)</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199—10.5</w:t>
      </w:r>
      <w:r>
        <w:rPr>
          <w:rFonts w:ascii="Times New Roman" w:hAnsi="Times New Roman"/>
          <w:b/>
          <w:i w:val="false"/>
          <w:color w:val="000000"/>
          <w:sz w:val="24"/>
        </w:rPr>
        <w:t xml:space="preserve">(479) </w:t>
      </w:r>
      <w:r>
        <w:rPr>
          <w:rFonts w:ascii="Times New Roman" w:hAnsi="Times New Roman"/>
          <w:b/>
          <w:i w:val="false"/>
          <w:color w:val="000000"/>
          <w:sz w:val="24"/>
        </w:rPr>
        <w:t xml:space="preserve">Hearing. </w:t>
      </w:r>
      <w:r>
        <w:rPr>
          <w:rFonts w:ascii="Times New Roman" w:hAnsi="Times New Roman"/>
          <w:b w:val="false"/>
          <w:i w:val="false"/>
          <w:color w:val="000000"/>
          <w:sz w:val="24"/>
        </w:rPr>
        <w:t xml:space="preserve">A hearing shall be set and held in accordance with Iowa Code sections </w:t>
      </w:r>
      <w:hyperlink r:id="rId18">
        <w:r>
          <w:rPr>
            <w:rStyle w:val="Hyperlink"/>
            <w:rFonts w:ascii="Times New Roman" w:hAnsi="Times New Roman"/>
            <w:b w:val="false"/>
            <w:i w:val="false"/>
            <w:color w:val="000000"/>
            <w:sz w:val="24"/>
          </w:rPr>
          <w:t>479.7</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479.8</w:t>
        </w:r>
      </w:hyperlink>
      <w:r>
        <w:rPr>
          <w:rFonts w:ascii="Times New Roman" w:hAnsi="Times New Roman"/>
          <w:b w:val="false"/>
          <w:i w:val="false"/>
          <w:color w:val="000000"/>
          <w:sz w:val="24"/>
        </w:rPr>
        <w:t xml:space="preserve">. Any prehearing proceedings and the hearing shall be conducted in accordance with </w:t>
      </w:r>
      <w:hyperlink r:id="rId20">
        <w:r>
          <w:rPr>
            <w:rStyle w:val="Hyperlink"/>
            <w:rFonts w:ascii="Times New Roman" w:hAnsi="Times New Roman"/>
            <w:b w:val="false"/>
            <w:i w:val="false"/>
            <w:strike/>
            <w:color w:val="000000"/>
            <w:sz w:val="24"/>
          </w:rPr>
          <w:t>199—Chapter 7</w:t>
        </w:r>
      </w:hyperlink>
      <w:r>
        <w:rPr>
          <w:rFonts w:ascii="Times New Roman" w:hAnsi="Times New Roman"/>
          <w:b w:val="false"/>
          <w:i w:val="false"/>
          <w:color w:val="000000"/>
          <w:sz w:val="24"/>
          <w:u w:val="single"/>
        </w:rPr>
        <w:t> </w:t>
      </w:r>
      <w:hyperlink r:id="rId21">
        <w:r>
          <w:rPr>
            <w:rStyle w:val="Hyperlink"/>
            <w:rFonts w:ascii="Times New Roman" w:hAnsi="Times New Roman"/>
            <w:b w:val="false"/>
            <w:i w:val="false"/>
            <w:color w:val="000000"/>
            <w:sz w:val="24"/>
            <w:u w:val="single"/>
          </w:rPr>
          <w:t>199—Chapter 2506</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11.5(1)“b”(1)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map showing the route of the transmission line drawn with reasonable accuracy, considering the scale. The map may be to any scale appropriate for the level of detail to be shown but not smaller than one inch to the mile and is to be legible when printed on paper no larger than </w:t>
      </w:r>
      <w:r>
        <w:rPr>
          <w:rFonts w:ascii="Times New Roman" w:hAnsi="Times New Roman"/>
          <w:b w:val="false"/>
          <w:i w:val="false"/>
          <w:strike/>
          <w:color w:val="000000"/>
          <w:sz w:val="24"/>
        </w:rPr>
        <w:t>11 by 17 inches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11" by 17"</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The filing company shall provide the following information: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electric company shall include necessary data files with geographical identifiers that are readable by common internet or software mapping applications (KMZ, shapefile, JSON, etc.) showing the proposed route of the transmission line. The following minimum information shall be provided on the maps: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subparagraph </w:t>
      </w:r>
      <w:r>
        <w:rPr>
          <w:rFonts w:ascii="Times New Roman" w:hAnsi="Times New Roman"/>
          <w:b/>
          <w:i w:val="false"/>
          <w:color w:val="000000"/>
          <w:sz w:val="24"/>
        </w:rPr>
        <w:t>11.5(1)“e”(7)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An updated electronic file with geographic identifiers as required by paragraph </w:t>
      </w:r>
      <w:hyperlink r:id="rId22">
        <w:r>
          <w:rPr>
            <w:rStyle w:val="Hyperlink"/>
            <w:rFonts w:ascii="Times New Roman" w:hAnsi="Times New Roman"/>
            <w:b w:val="false"/>
            <w:i w:val="false"/>
            <w:color w:val="000000"/>
            <w:sz w:val="24"/>
          </w:rPr>
          <w:t>11.5(1)</w:t>
        </w:r>
      </w:hyperlink>
      <w:r>
        <w:rPr>
          <w:rFonts w:ascii="Times New Roman" w:hAnsi="Times New Roman"/>
          <w:b w:val="false"/>
          <w:i/>
          <w:color w:val="000000"/>
          <w:sz w:val="24"/>
        </w:rPr>
        <w:t>“b”</w:t>
      </w:r>
      <w:r>
        <w:rPr>
          <w:rFonts w:ascii="Times New Roman" w:hAnsi="Times New Roman"/>
          <w:b w:val="false"/>
          <w:i w:val="false"/>
          <w:color w:val="000000"/>
          <w:sz w:val="24"/>
        </w:rPr>
        <w:t xml:space="preserve"> to show the locations and boundaries of the property and the easement boundaries for which the electric company is seeking eminent domain.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11.7(2)“b”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Exhibit B. </w:t>
      </w:r>
      <w:r>
        <w:rPr>
          <w:rFonts w:ascii="Times New Roman" w:hAnsi="Times New Roman"/>
          <w:b w:val="false"/>
          <w:i w:val="false"/>
          <w:color w:val="000000"/>
          <w:sz w:val="24"/>
        </w:rPr>
        <w:t xml:space="preserve">A map showing the route of the transmission line drawn with reasonable accuracy, considering the scale. The map may be to any scale appropriate for the level of detail to be shown but not smaller than one inch to the mile and legible when printed on paper no larger than </w:t>
      </w:r>
      <w:r>
        <w:rPr>
          <w:rFonts w:ascii="Times New Roman" w:hAnsi="Times New Roman"/>
          <w:b w:val="false"/>
          <w:i w:val="false"/>
          <w:strike/>
          <w:color w:val="000000"/>
          <w:sz w:val="24"/>
        </w:rPr>
        <w:t>11 by 17 inches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11" by 17"</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The following information shall be provided: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electric company shall include necessary data files with geographical identifiers that are readable by common internet or software mapping applications (KMZ, shapefile, JSON, etc.) showing the proposed route of the transmission line. The following minimum information shall be provided on the maps: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11.7(2)“e”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Exhibit E. </w:t>
      </w:r>
      <w:r>
        <w:rPr>
          <w:rFonts w:ascii="Times New Roman" w:hAnsi="Times New Roman"/>
          <w:b w:val="false"/>
          <w:i w:val="false"/>
          <w:color w:val="000000"/>
          <w:sz w:val="24"/>
        </w:rPr>
        <w:t>A statement that the right of eminent domain is not being requested</w:t>
      </w:r>
      <w:r>
        <w:rPr>
          <w:rFonts w:ascii="Times New Roman" w:hAnsi="Times New Roman"/>
          <w:b w:val="false"/>
          <w:i w:val="false"/>
          <w:strik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an updated electronic file with geographic identifiers as required by paragraph </w:t>
      </w:r>
      <w:hyperlink r:id="rId23">
        <w:r>
          <w:rPr>
            <w:rStyle w:val="Hyperlink"/>
            <w:rFonts w:ascii="Times New Roman" w:hAnsi="Times New Roman"/>
            <w:b w:val="false"/>
            <w:i w:val="false"/>
            <w:color w:val="000000"/>
            <w:sz w:val="24"/>
            <w:u w:val="single"/>
          </w:rPr>
          <w:t>11.5(1)</w:t>
        </w:r>
      </w:hyperlink>
      <w:r>
        <w:rPr>
          <w:rFonts w:ascii="Times New Roman" w:hAnsi="Times New Roman"/>
          <w:b w:val="false"/>
          <w:i/>
          <w:color w:val="000000"/>
          <w:sz w:val="24"/>
          <w:u w:val="single"/>
        </w:rPr>
        <w:t>“b.”</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11.8(1)“b”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Exhibit B. </w:t>
      </w:r>
      <w:r>
        <w:rPr>
          <w:rFonts w:ascii="Times New Roman" w:hAnsi="Times New Roman"/>
          <w:b w:val="false"/>
          <w:i w:val="false"/>
          <w:color w:val="000000"/>
          <w:sz w:val="24"/>
        </w:rPr>
        <w:t xml:space="preserve">A map showing the route of the transmission line drawn with reasonable accuracy, considering the scale. The map may be to any scale appropriate for the level of detail to be shown but not smaller than one inch to the mile and legible when printed on paper no larger than </w:t>
      </w:r>
      <w:r>
        <w:rPr>
          <w:rFonts w:ascii="Times New Roman" w:hAnsi="Times New Roman"/>
          <w:b w:val="false"/>
          <w:i w:val="false"/>
          <w:strike/>
          <w:color w:val="000000"/>
          <w:sz w:val="24"/>
        </w:rPr>
        <w:t>11 by 17 inches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11" by 17"</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The following information shall be provided: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electric company shall include necessary data files with geographical identifiers that are readable by common internet or software mapping applications (KMZ, shapefile, JSON, etc.) showing the proposed route of the transmission line. The following minimum information shall be provided on the maps: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199—13.6(479,479B)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199—13.6</w:t>
      </w:r>
      <w:r>
        <w:rPr>
          <w:rFonts w:ascii="Times New Roman" w:hAnsi="Times New Roman"/>
          <w:b/>
          <w:i w:val="false"/>
          <w:color w:val="000000"/>
          <w:sz w:val="24"/>
        </w:rPr>
        <w:t xml:space="preserve">(479,479B) </w:t>
      </w:r>
      <w:r>
        <w:rPr>
          <w:rFonts w:ascii="Times New Roman" w:hAnsi="Times New Roman"/>
          <w:b/>
          <w:i w:val="false"/>
          <w:color w:val="000000"/>
          <w:sz w:val="24"/>
        </w:rPr>
        <w:t xml:space="preserve">Hearing. </w:t>
      </w:r>
      <w:r>
        <w:rPr>
          <w:rFonts w:ascii="Times New Roman" w:hAnsi="Times New Roman"/>
          <w:b w:val="false"/>
          <w:i w:val="false"/>
          <w:color w:val="000000"/>
          <w:sz w:val="24"/>
        </w:rPr>
        <w:t xml:space="preserve">Hearings required under this chapter will comply with Iowa Code chapter </w:t>
      </w:r>
      <w:hyperlink r:id="rId24">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sections </w:t>
      </w:r>
      <w:hyperlink r:id="rId25">
        <w:r>
          <w:rPr>
            <w:rStyle w:val="Hyperlink"/>
            <w:rFonts w:ascii="Times New Roman" w:hAnsi="Times New Roman"/>
            <w:b w:val="false"/>
            <w:i w:val="false"/>
            <w:color w:val="000000"/>
            <w:sz w:val="24"/>
          </w:rPr>
          <w:t>479.7</w:t>
        </w:r>
      </w:hyperlink>
      <w:r>
        <w:rPr>
          <w:rFonts w:ascii="Times New Roman" w:hAnsi="Times New Roman"/>
          <w:b w:val="false"/>
          <w:i w:val="false"/>
          <w:color w:val="000000"/>
          <w:sz w:val="24"/>
        </w:rPr>
        <w:t xml:space="preserve"> and </w:t>
      </w:r>
      <w:hyperlink r:id="rId26">
        <w:r>
          <w:rPr>
            <w:rStyle w:val="Hyperlink"/>
            <w:rFonts w:ascii="Times New Roman" w:hAnsi="Times New Roman"/>
            <w:b w:val="false"/>
            <w:i w:val="false"/>
            <w:color w:val="000000"/>
            <w:sz w:val="24"/>
          </w:rPr>
          <w:t>479B.6</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strike/>
            <w:color w:val="000000"/>
            <w:sz w:val="24"/>
          </w:rPr>
          <w:t>199—Chapter 7</w:t>
        </w:r>
      </w:hyperlink>
      <w:r>
        <w:rPr>
          <w:rFonts w:ascii="Times New Roman" w:hAnsi="Times New Roman"/>
          <w:b w:val="false"/>
          <w:i w:val="false"/>
          <w:color w:val="000000"/>
          <w:sz w:val="24"/>
          <w:u w:val="single"/>
        </w:rPr>
        <w:t> </w:t>
      </w:r>
      <w:hyperlink r:id="rId28">
        <w:r>
          <w:rPr>
            <w:rStyle w:val="Hyperlink"/>
            <w:rFonts w:ascii="Times New Roman" w:hAnsi="Times New Roman"/>
            <w:b w:val="false"/>
            <w:i w:val="false"/>
            <w:color w:val="000000"/>
            <w:sz w:val="24"/>
            <w:u w:val="single"/>
          </w:rPr>
          <w:t>199—Chapter 2506</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199—14.3(17A,476)</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“Registered user,”</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“Registered user”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has complied with the commission’s requirements in rule </w:t>
      </w:r>
      <w:hyperlink r:id="rId29">
        <w:r>
          <w:rPr>
            <w:rStyle w:val="Hyperlink"/>
            <w:rFonts w:ascii="Times New Roman" w:hAnsi="Times New Roman"/>
            <w:b w:val="false"/>
            <w:i w:val="false"/>
            <w:color w:val="000000"/>
            <w:sz w:val="24"/>
          </w:rPr>
          <w:t>199—14.6</w:t>
        </w:r>
      </w:hyperlink>
      <w:r>
        <w:rPr>
          <w:rFonts w:ascii="Times New Roman" w:hAnsi="Times New Roman"/>
          <w:b w:val="false"/>
          <w:i w:val="false"/>
          <w:color w:val="000000"/>
          <w:sz w:val="24"/>
        </w:rPr>
        <w:t>(17A,476) to obtain a user ID and password in order to</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view or</w:t>
      </w:r>
      <w:r>
        <w:rPr>
          <w:rFonts w:ascii="Times New Roman" w:hAnsi="Times New Roman"/>
          <w:b w:val="false"/>
          <w:i w:val="false"/>
          <w:color w:val="000000"/>
          <w:sz w:val="24"/>
        </w:rPr>
        <w:t xml:space="preserve"> submit filings for the commission’s consideration through EFS.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the definition of </w:t>
      </w:r>
      <w:r>
        <w:rPr>
          <w:rFonts w:ascii="Times New Roman" w:hAnsi="Times New Roman"/>
          <w:b w:val="false"/>
          <w:i w:val="false"/>
          <w:color w:val="000000"/>
          <w:sz w:val="24"/>
        </w:rPr>
        <w:t>“Guest user”</w:t>
      </w:r>
      <w:r>
        <w:rPr>
          <w:rFonts w:ascii="Times New Roman" w:hAnsi="Times New Roman"/>
          <w:b w:val="false"/>
          <w:i w:val="false"/>
          <w:color w:val="000000"/>
          <w:sz w:val="24"/>
        </w:rPr>
        <w:t xml:space="preserve"> in rule </w:t>
      </w:r>
      <w:r>
        <w:rPr>
          <w:rFonts w:ascii="Times New Roman" w:hAnsi="Times New Roman"/>
          <w:b/>
          <w:i w:val="false"/>
          <w:color w:val="000000"/>
          <w:sz w:val="24"/>
        </w:rPr>
        <w:t>199—14.3(17A,476)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16.</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14.5(1)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14.5(1)</w:t>
      </w:r>
      <w:r>
        <w:rPr>
          <w:rFonts w:ascii="Times New Roman" w:hAnsi="Times New Roman"/>
          <w:b w:val="false"/>
          <w:i w:val="false"/>
          <w:color w:val="000000"/>
          <w:sz w:val="24"/>
        </w:rPr>
        <w:t> </w:t>
      </w:r>
      <w:r>
        <w:rPr>
          <w:rFonts w:ascii="Times New Roman" w:hAnsi="Times New Roman"/>
          <w:b w:val="false"/>
          <w:i w:val="false"/>
          <w:color w:val="000000"/>
          <w:sz w:val="24"/>
        </w:rPr>
        <w:t xml:space="preserve">Signatures. The use of a user ID and password in accordance with the registration procedures specified in rule </w:t>
      </w:r>
      <w:hyperlink r:id="rId30">
        <w:r>
          <w:rPr>
            <w:rStyle w:val="Hyperlink"/>
            <w:rFonts w:ascii="Times New Roman" w:hAnsi="Times New Roman"/>
            <w:b w:val="false"/>
            <w:i w:val="false"/>
            <w:color w:val="000000"/>
            <w:sz w:val="24"/>
          </w:rPr>
          <w:t>199—14.6</w:t>
        </w:r>
      </w:hyperlink>
      <w:r>
        <w:rPr>
          <w:rFonts w:ascii="Times New Roman" w:hAnsi="Times New Roman"/>
          <w:b w:val="false"/>
          <w:i w:val="false"/>
          <w:color w:val="000000"/>
          <w:sz w:val="24"/>
        </w:rPr>
        <w:t>(17A,476) constitutes the filer’s signature. Filers should use “/s/” followed by the signer’s name to indicate a signature where applicable. All pleadings shall include a signature block containing the signer’s name, title, address, email address, and telephone number.</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199—14.8(17A,476)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199—14.8</w:t>
      </w:r>
      <w:r>
        <w:rPr>
          <w:rFonts w:ascii="Times New Roman" w:hAnsi="Times New Roman"/>
          <w:b/>
          <w:i w:val="false"/>
          <w:color w:val="000000"/>
          <w:sz w:val="24"/>
        </w:rPr>
        <w:t xml:space="preserve">(17A,476) </w:t>
      </w:r>
      <w:r>
        <w:rPr>
          <w:rFonts w:ascii="Times New Roman" w:hAnsi="Times New Roman"/>
          <w:b/>
          <w:i w:val="false"/>
          <w:color w:val="000000"/>
          <w:sz w:val="24"/>
        </w:rPr>
        <w:t xml:space="preserve">Maps, plan and profile drawings, and other oversized documents. </w:t>
      </w:r>
      <w:r>
        <w:rPr>
          <w:rFonts w:ascii="Times New Roman" w:hAnsi="Times New Roman"/>
          <w:b w:val="false"/>
          <w:i w:val="false"/>
          <w:color w:val="000000"/>
          <w:sz w:val="24"/>
        </w:rPr>
        <w:t xml:space="preserve">Any map, plan and profile drawing, or oversized document that is to be filed with the commission should be electronically filed as a PDF (Portable Document Format) or such electronic format as designated by the commission. If the map, drawing, or oversized document cannot be printed on </w:t>
      </w:r>
      <w:r>
        <w:rPr>
          <w:rFonts w:ascii="Times New Roman" w:hAnsi="Times New Roman"/>
          <w:b w:val="false"/>
          <w:i w:val="false"/>
          <w:strike/>
          <w:color w:val="000000"/>
          <w:sz w:val="24"/>
        </w:rPr>
        <w:t>11- by 17-inch</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11" by 17"</w:t>
      </w:r>
      <w:r>
        <w:rPr>
          <w:rFonts w:ascii="Times New Roman" w:hAnsi="Times New Roman"/>
          <w:b w:val="false"/>
          <w:i w:val="false"/>
          <w:color w:val="000000"/>
          <w:sz w:val="24"/>
        </w:rPr>
        <w:t xml:space="preserve"> or smaller-sized paper in legible and usable form, as determined by the commission, the original and four paper copies of each map, drawing, or other document filed pursuant to this rule should also be filed unless more copies are directed by commission order or request. Maps and other documents should be drawn to a scale appropriate for the level of detail to be shown. However, if the map, drawing, or other document is not electronically filed, then the number of paper copies filed is governed by other applicable rules, including </w:t>
      </w:r>
      <w:r>
        <w:rPr>
          <w:rFonts w:ascii="Times New Roman" w:hAnsi="Times New Roman"/>
          <w:b w:val="false"/>
          <w:i w:val="false"/>
          <w:strike/>
          <w:color w:val="000000"/>
          <w:sz w:val="24"/>
        </w:rPr>
        <w:t xml:space="preserve">the “hearings” rule in </w:t>
      </w:r>
      <w:hyperlink r:id="rId31">
        <w:r>
          <w:rPr>
            <w:rStyle w:val="Hyperlink"/>
            <w:rFonts w:ascii="Times New Roman" w:hAnsi="Times New Roman"/>
            <w:b w:val="false"/>
            <w:i w:val="false"/>
            <w:strike/>
            <w:color w:val="000000"/>
            <w:sz w:val="24"/>
          </w:rPr>
          <w:t>199—Chapter 7</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rule </w:t>
      </w:r>
      <w:hyperlink r:id="rId32">
        <w:r>
          <w:rPr>
            <w:rStyle w:val="Hyperlink"/>
            <w:rFonts w:ascii="Times New Roman" w:hAnsi="Times New Roman"/>
            <w:b w:val="false"/>
            <w:i w:val="false"/>
            <w:color w:val="000000"/>
            <w:sz w:val="24"/>
            <w:u w:val="single"/>
          </w:rPr>
          <w:t>199—2506.23</w:t>
        </w:r>
      </w:hyperlink>
      <w:r>
        <w:rPr>
          <w:rFonts w:ascii="Times New Roman" w:hAnsi="Times New Roman"/>
          <w:b w:val="false"/>
          <w:i w:val="false"/>
          <w:color w:val="000000"/>
          <w:sz w:val="24"/>
          <w:u w:val="single"/>
        </w:rPr>
        <w:t>(17A,476)</w:t>
      </w:r>
      <w:r>
        <w:rPr>
          <w:rFonts w:ascii="Times New Roman" w:hAnsi="Times New Roman"/>
          <w:b w:val="false"/>
          <w:i w:val="false"/>
          <w:color w:val="000000"/>
          <w:sz w:val="24"/>
        </w:rPr>
        <w:t xml:space="preserve">, which concerns the required number of copies for evidence introduced at hearing, and </w:t>
      </w:r>
      <w:hyperlink r:id="rId33">
        <w:r>
          <w:rPr>
            <w:rStyle w:val="Hyperlink"/>
            <w:rFonts w:ascii="Times New Roman" w:hAnsi="Times New Roman"/>
            <w:b w:val="false"/>
            <w:i w:val="false"/>
            <w:color w:val="000000"/>
            <w:sz w:val="24"/>
          </w:rPr>
          <w:t>199—Chapter 26</w:t>
        </w:r>
      </w:hyperlink>
      <w:r>
        <w:rPr>
          <w:rFonts w:ascii="Times New Roman" w:hAnsi="Times New Roman"/>
          <w:b w:val="false"/>
          <w:i w:val="false"/>
          <w:color w:val="000000"/>
          <w:sz w:val="24"/>
        </w:rPr>
        <w:t>, which contains additional requirements regarding the number of paper copies of minimum filing requirements required to be filed in rate and tariff proceedings.</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199—14.11(17A,476)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199—14.11</w:t>
      </w:r>
      <w:r>
        <w:rPr>
          <w:rFonts w:ascii="Times New Roman" w:hAnsi="Times New Roman"/>
          <w:b/>
          <w:i w:val="false"/>
          <w:color w:val="000000"/>
          <w:sz w:val="24"/>
        </w:rPr>
        <w:t xml:space="preserve">(17A,476) </w:t>
      </w:r>
      <w:r>
        <w:rPr>
          <w:rFonts w:ascii="Times New Roman" w:hAnsi="Times New Roman"/>
          <w:b/>
          <w:i w:val="false"/>
          <w:color w:val="000000"/>
          <w:sz w:val="24"/>
        </w:rPr>
        <w:t xml:space="preserve">Documents containing confidential material. </w:t>
      </w:r>
      <w:r>
        <w:rPr>
          <w:rFonts w:ascii="Times New Roman" w:hAnsi="Times New Roman"/>
          <w:b w:val="false"/>
          <w:i w:val="false"/>
          <w:color w:val="000000"/>
          <w:sz w:val="24"/>
        </w:rPr>
        <w:t xml:space="preserve">Confidential documents will not be published in EFS. When filing a document containing confidential information, a person shall file one public version of the document with the confidential information redacted according to the commission’s standards for electronic information and one version of the document containing the confidential information. The two versions of the document should be named according to the following convention: “Document Title—Public” and “Document Title—Confidential.” It is the responsibility of the person submitting a public version of the electronic document to take appropriate measures to ensure that any embedded information for which confidential treatment is sought is nonviewable, nonsearchable, and nonreversible. Each page of the confidential version of the document shall be marked in a way that identifies it as belonging to the confidential version of the document. The confidential material itself is to be highlighted or otherwise distinguished on the page to identify what specific information is confidential. A filing including a document the filer asserts contains confidential information is also to include a separate document containing the request for confidential treatment pursuant to </w:t>
      </w:r>
      <w:hyperlink r:id="rId34">
        <w:r>
          <w:rPr>
            <w:rStyle w:val="Hyperlink"/>
            <w:rFonts w:ascii="Times New Roman" w:hAnsi="Times New Roman"/>
            <w:b w:val="false"/>
            <w:i w:val="false"/>
            <w:strike/>
            <w:color w:val="000000"/>
            <w:sz w:val="24"/>
          </w:rPr>
          <w:t>199—Chapter 1</w:t>
        </w:r>
      </w:hyperlink>
      <w:r>
        <w:rPr>
          <w:rFonts w:ascii="Times New Roman" w:hAnsi="Times New Roman"/>
          <w:b w:val="false"/>
          <w:i w:val="false"/>
          <w:color w:val="000000"/>
          <w:sz w:val="24"/>
          <w:u w:val="single"/>
        </w:rPr>
        <w:t> </w:t>
      </w:r>
      <w:hyperlink r:id="rId35">
        <w:r>
          <w:rPr>
            <w:rStyle w:val="Hyperlink"/>
            <w:rFonts w:ascii="Times New Roman" w:hAnsi="Times New Roman"/>
            <w:b w:val="false"/>
            <w:i w:val="false"/>
            <w:color w:val="000000"/>
            <w:sz w:val="24"/>
            <w:u w:val="single"/>
          </w:rPr>
          <w:t>7—Chapter 2505</w:t>
        </w:r>
      </w:hyperlink>
      <w:r>
        <w:rPr>
          <w:rFonts w:ascii="Times New Roman" w:hAnsi="Times New Roman"/>
          <w:b w:val="false"/>
          <w:i w:val="false"/>
          <w:color w:val="000000"/>
          <w:sz w:val="24"/>
          <w:u w:val="single"/>
        </w:rPr>
        <w:t xml:space="preserve"> and </w:t>
      </w:r>
      <w:hyperlink r:id="rId36">
        <w:r>
          <w:rPr>
            <w:rStyle w:val="Hyperlink"/>
            <w:rFonts w:ascii="Times New Roman" w:hAnsi="Times New Roman"/>
            <w:b w:val="false"/>
            <w:i w:val="false"/>
            <w:color w:val="000000"/>
            <w:sz w:val="24"/>
            <w:u w:val="single"/>
          </w:rPr>
          <w:t>199—Chapter 2505</w:t>
        </w:r>
      </w:hyperlink>
      <w:r>
        <w:rPr>
          <w:rFonts w:ascii="Times New Roman" w:hAnsi="Times New Roman"/>
          <w:b w:val="false"/>
          <w:i w:val="false"/>
          <w:color w:val="000000"/>
          <w:sz w:val="24"/>
        </w:rPr>
        <w:t>. Documents that the filer asserts contain confidential information will not be electronically served by EFS</w:t>
      </w:r>
      <w:r>
        <w:rPr>
          <w:rFonts w:ascii="Times New Roman" w:hAnsi="Times New Roman"/>
          <w:b w:val="false"/>
          <w:i w:val="false"/>
          <w:strike/>
          <w:color w:val="000000"/>
          <w:sz w:val="24"/>
        </w:rPr>
        <w:t xml:space="preserve">, as provided in </w:t>
      </w:r>
      <w:hyperlink r:id="rId37">
        <w:r>
          <w:rPr>
            <w:rStyle w:val="Hyperlink"/>
            <w:rFonts w:ascii="Times New Roman" w:hAnsi="Times New Roman"/>
            <w:b w:val="false"/>
            <w:i w:val="false"/>
            <w:strike/>
            <w:color w:val="000000"/>
            <w:sz w:val="24"/>
          </w:rPr>
          <w:t>199—Chapter 14</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19.</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i w:val="false"/>
          <w:color w:val="000000"/>
          <w:sz w:val="24"/>
        </w:rPr>
        <w:t>199—14.12(17A,476)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20.</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199—14.13(17A,476)</w:t>
      </w:r>
      <w:r>
        <w:rPr>
          <w:rFonts w:ascii="Times New Roman" w:hAnsi="Times New Roman"/>
          <w:b w:val="false"/>
          <w:i w:val="false"/>
          <w:color w:val="000000"/>
          <w:sz w:val="24"/>
        </w:rPr>
        <w:t xml:space="preserve"> and </w:t>
      </w:r>
      <w:r>
        <w:rPr>
          <w:rFonts w:ascii="Times New Roman" w:hAnsi="Times New Roman"/>
          <w:b/>
          <w:i w:val="false"/>
          <w:color w:val="000000"/>
          <w:sz w:val="24"/>
        </w:rPr>
        <w:t>199—14.14(17A,476)</w:t>
      </w:r>
      <w:r>
        <w:rPr>
          <w:rFonts w:ascii="Times New Roman" w:hAnsi="Times New Roman"/>
          <w:b w:val="false"/>
          <w:i w:val="false"/>
          <w:color w:val="000000"/>
          <w:sz w:val="24"/>
        </w:rPr>
        <w:t xml:space="preserve"> as </w:t>
      </w:r>
      <w:r>
        <w:rPr>
          <w:rFonts w:ascii="Times New Roman" w:hAnsi="Times New Roman"/>
          <w:b/>
          <w:i w:val="false"/>
          <w:color w:val="000000"/>
          <w:sz w:val="24"/>
        </w:rPr>
        <w:t>199—14.12(17A,476)</w:t>
      </w:r>
      <w:r>
        <w:rPr>
          <w:rFonts w:ascii="Times New Roman" w:hAnsi="Times New Roman"/>
          <w:b w:val="false"/>
          <w:i w:val="false"/>
          <w:color w:val="000000"/>
          <w:sz w:val="24"/>
        </w:rPr>
        <w:t xml:space="preserve"> and </w:t>
      </w:r>
      <w:r>
        <w:rPr>
          <w:rFonts w:ascii="Times New Roman" w:hAnsi="Times New Roman"/>
          <w:b/>
          <w:i w:val="false"/>
          <w:color w:val="000000"/>
          <w:sz w:val="24"/>
        </w:rPr>
        <w:t>199—14.13(17A,476)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14.13(2)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14.13(2)</w:t>
      </w:r>
      <w:r>
        <w:rPr>
          <w:rFonts w:ascii="Times New Roman" w:hAnsi="Times New Roman"/>
          <w:b w:val="false"/>
          <w:i w:val="false"/>
          <w:color w:val="000000"/>
          <w:sz w:val="24"/>
        </w:rPr>
        <w:t> </w:t>
      </w:r>
      <w:r>
        <w:rPr>
          <w:rFonts w:ascii="Times New Roman" w:hAnsi="Times New Roman"/>
          <w:b w:val="false"/>
          <w:i/>
          <w:color w:val="000000"/>
          <w:sz w:val="24"/>
        </w:rPr>
        <w:t xml:space="preserve">Service on parties for whom electronic service is not available. </w:t>
      </w:r>
      <w:r>
        <w:rPr>
          <w:rFonts w:ascii="Times New Roman" w:hAnsi="Times New Roman"/>
          <w:b w:val="false"/>
          <w:i w:val="false"/>
          <w:color w:val="000000"/>
          <w:sz w:val="24"/>
        </w:rPr>
        <w:t xml:space="preserve">The service list in each proceeding will be available in EFS. The list will identify the representatives for each party and will also indicate the parties for whom electronic service is not available. A filer is to serve a paper copy of any electronically filed document on parties entitled to paper service under </w:t>
      </w:r>
      <w:r>
        <w:rPr>
          <w:rFonts w:ascii="Times New Roman" w:hAnsi="Times New Roman"/>
          <w:b w:val="false"/>
          <w:i w:val="false"/>
          <w:strike/>
          <w:color w:val="000000"/>
          <w:sz w:val="24"/>
        </w:rPr>
        <w:t xml:space="preserve">the “general information” rule in </w:t>
      </w:r>
      <w:hyperlink r:id="rId38">
        <w:r>
          <w:rPr>
            <w:rStyle w:val="Hyperlink"/>
            <w:rFonts w:ascii="Times New Roman" w:hAnsi="Times New Roman"/>
            <w:b w:val="false"/>
            <w:i w:val="false"/>
            <w:strike/>
            <w:color w:val="000000"/>
            <w:sz w:val="24"/>
          </w:rPr>
          <w:t>199—Chapter 7</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rule </w:t>
      </w:r>
      <w:hyperlink r:id="rId39">
        <w:r>
          <w:rPr>
            <w:rStyle w:val="Hyperlink"/>
            <w:rFonts w:ascii="Times New Roman" w:hAnsi="Times New Roman"/>
            <w:b w:val="false"/>
            <w:i w:val="false"/>
            <w:color w:val="000000"/>
            <w:sz w:val="24"/>
            <w:u w:val="single"/>
          </w:rPr>
          <w:t>199—2506.4</w:t>
        </w:r>
      </w:hyperlink>
      <w:r>
        <w:rPr>
          <w:rFonts w:ascii="Times New Roman" w:hAnsi="Times New Roman"/>
          <w:b w:val="false"/>
          <w:i w:val="false"/>
          <w:color w:val="000000"/>
          <w:sz w:val="24"/>
          <w:u w:val="single"/>
        </w:rPr>
        <w:t>(17A,474,476)</w:t>
      </w:r>
      <w:r>
        <w:rPr>
          <w:rFonts w:ascii="Times New Roman" w:hAnsi="Times New Roman"/>
          <w:b w:val="false"/>
          <w:i w:val="false"/>
          <w:color w:val="000000"/>
          <w:sz w:val="24"/>
        </w:rPr>
        <w:t xml:space="preserve"> unless the parties agree to other arrangements. The date of service is the day when the document served is deposited in the United States mail or overnight delivery, is delivered in person, or otherwise as the parties may agree. A party serving a paper copy of any electronically filed document on a person for whom electronic service is not available is to file a certificate of service stating the manner in which service on such person was accomplished.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199—15.1(476)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199—15.1</w:t>
      </w:r>
      <w:r>
        <w:rPr>
          <w:rFonts w:ascii="Times New Roman" w:hAnsi="Times New Roman"/>
          <w:b/>
          <w:i w:val="false"/>
          <w:color w:val="000000"/>
          <w:sz w:val="24"/>
        </w:rPr>
        <w:t xml:space="preserve">(476)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Terms defined in the Public Utility Regulatory Policies Act of 1978 (PURPA), in effect on </w:t>
      </w:r>
      <w:r>
        <w:rPr>
          <w:rFonts w:ascii="Times New Roman" w:hAnsi="Times New Roman"/>
          <w:b w:val="false"/>
          <w:i w:val="false"/>
          <w:strike/>
          <w:color w:val="000000"/>
          <w:sz w:val="24"/>
        </w:rPr>
        <w:t>October 24, 1992</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[effective date of this rule]</w:t>
      </w:r>
      <w:r>
        <w:rPr>
          <w:rFonts w:ascii="Times New Roman" w:hAnsi="Times New Roman"/>
          <w:b w:val="false"/>
          <w:i w:val="false"/>
          <w:color w:val="000000"/>
          <w:sz w:val="24"/>
        </w:rPr>
        <w:t xml:space="preserve">, </w:t>
      </w:r>
      <w:r>
        <w:rPr>
          <w:rFonts w:ascii="Times New Roman" w:hAnsi="Times New Roman"/>
          <w:b w:val="false"/>
          <w:i w:val="false"/>
          <w:color w:val="000000"/>
          <w:sz w:val="24"/>
        </w:rPr>
        <w:t>16 U.S.C. 2601</w:t>
      </w:r>
      <w:r>
        <w:rPr>
          <w:rFonts w:ascii="Times New Roman" w:hAnsi="Times New Roman"/>
          <w:b w:val="false"/>
          <w:i w:val="false"/>
          <w:color w:val="000000"/>
          <w:sz w:val="24"/>
        </w:rPr>
        <w:t>, et seq., have the same meaning for purposes of these rules as they have under PURPA, unless further defined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“AEP facility”</w:t>
      </w:r>
      <w:r>
        <w:rPr>
          <w:rFonts w:ascii="Times New Roman" w:hAnsi="Times New Roman"/>
          <w:b w:val="false"/>
          <w:i w:val="false"/>
          <w:color w:val="000000"/>
          <w:sz w:val="24"/>
        </w:rPr>
        <w:t> </w:t>
      </w:r>
      <w:r>
        <w:rPr>
          <w:rFonts w:ascii="Times New Roman" w:hAnsi="Times New Roman"/>
          <w:b w:val="false"/>
          <w:i w:val="false"/>
          <w:color w:val="000000"/>
          <w:sz w:val="24"/>
        </w:rPr>
        <w:t>means: (1) an electric production facility that derives 75 percent or more of its energy input from solar energy, wind, waste management, resource recovery, refuse-derived fuel, agricultural crops or residues, or wood burning; (2) a hydroelectric facility at a dam; (3) land, systems, buildings, or improvements that are located at the project site and are necessary or convenient to the construction, completion, or operation of the facility; or (4) transmission or distribution facilities necessary to conduct the energy produced by the facility to the purchasing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“Alternate energy purchase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“AEP program”</w:t>
      </w:r>
      <w:r>
        <w:rPr>
          <w:rFonts w:ascii="Times New Roman" w:hAnsi="Times New Roman"/>
          <w:b w:val="false"/>
          <w:i w:val="false"/>
          <w:color w:val="000000"/>
          <w:sz w:val="24"/>
        </w:rPr>
        <w:t> </w:t>
      </w:r>
      <w:r>
        <w:rPr>
          <w:rFonts w:ascii="Times New Roman" w:hAnsi="Times New Roman"/>
          <w:b w:val="false"/>
          <w:i w:val="false"/>
          <w:color w:val="000000"/>
          <w:sz w:val="24"/>
        </w:rPr>
        <w:t>means a utility program that allows customers to contribute voluntarily to the development of alternate energy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“Avoided costs”</w:t>
      </w:r>
      <w:r>
        <w:rPr>
          <w:rFonts w:ascii="Times New Roman" w:hAnsi="Times New Roman"/>
          <w:b w:val="false"/>
          <w:i w:val="false"/>
          <w:color w:val="000000"/>
          <w:sz w:val="24"/>
        </w:rPr>
        <w:t> </w:t>
      </w:r>
      <w:r>
        <w:rPr>
          <w:rFonts w:ascii="Times New Roman" w:hAnsi="Times New Roman"/>
          <w:b w:val="false"/>
          <w:i w:val="false"/>
          <w:color w:val="000000"/>
          <w:sz w:val="24"/>
        </w:rPr>
        <w:t>means the incremental costs to an electric utility of electric energy or capacity or both that, but for the purchase from the qualifying facility or qualifying facilities, such utility would generate itself or purchase from another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“Backup power”</w:t>
      </w:r>
      <w:r>
        <w:rPr>
          <w:rFonts w:ascii="Times New Roman" w:hAnsi="Times New Roman"/>
          <w:b w:val="false"/>
          <w:i w:val="false"/>
          <w:color w:val="000000"/>
          <w:sz w:val="24"/>
        </w:rPr>
        <w:t> </w:t>
      </w:r>
      <w:r>
        <w:rPr>
          <w:rFonts w:ascii="Times New Roman" w:hAnsi="Times New Roman"/>
          <w:b w:val="false"/>
          <w:i w:val="false"/>
          <w:color w:val="000000"/>
          <w:sz w:val="24"/>
        </w:rPr>
        <w:t>means electric energy or capacity supplied by an electric utility to qualifying facilities and AEP facilities to replace energy ordinarily generated by a facility’s own generation equipment during an unscheduled outage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“CFR”</w:t>
      </w:r>
      <w:r>
        <w:rPr>
          <w:rFonts w:ascii="Times New Roman" w:hAnsi="Times New Roman"/>
          <w:b w:val="false"/>
          <w:i w:val="false"/>
          <w:color w:val="000000"/>
          <w:sz w:val="24"/>
        </w:rPr>
        <w:t> </w:t>
      </w:r>
      <w:r>
        <w:rPr>
          <w:rFonts w:ascii="Times New Roman" w:hAnsi="Times New Roman"/>
          <w:b w:val="false"/>
          <w:i w:val="false"/>
          <w:color w:val="000000"/>
          <w:sz w:val="24"/>
        </w:rPr>
        <w:t>means the Code of Federal Regulations, which contains the general administrative rules adopted by federal departments and agencies, in effect as of July 16, 2025, unless a separate effective date is identified in a specific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“Distributed generation facility”</w:t>
      </w:r>
      <w:r>
        <w:rPr>
          <w:rFonts w:ascii="Times New Roman" w:hAnsi="Times New Roman"/>
          <w:b w:val="false"/>
          <w:i w:val="false"/>
          <w:color w:val="000000"/>
          <w:sz w:val="24"/>
        </w:rPr>
        <w:t> </w:t>
      </w:r>
      <w:r>
        <w:rPr>
          <w:rFonts w:ascii="Times New Roman" w:hAnsi="Times New Roman"/>
          <w:b w:val="false"/>
          <w:i w:val="false"/>
          <w:color w:val="000000"/>
          <w:sz w:val="24"/>
        </w:rPr>
        <w:t>means a qualifying facility, an AEP facility, or an energy storage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“Interconnection costs”</w:t>
      </w:r>
      <w:r>
        <w:rPr>
          <w:rFonts w:ascii="Times New Roman" w:hAnsi="Times New Roman"/>
          <w:b w:val="false"/>
          <w:i w:val="false"/>
          <w:color w:val="000000"/>
          <w:sz w:val="24"/>
        </w:rPr>
        <w:t> </w:t>
      </w:r>
      <w:r>
        <w:rPr>
          <w:rFonts w:ascii="Times New Roman" w:hAnsi="Times New Roman"/>
          <w:b w:val="false"/>
          <w:i w:val="false"/>
          <w:color w:val="000000"/>
          <w:sz w:val="24"/>
        </w:rPr>
        <w:t>means the reasonable costs of connection, switching, metering, transmission, distribution, safety provisions, and administrative costs incurred by the electric utility directly related to the installation and maintenance of the physical facilities necessary to permit interconnected operations with qualifying facilities and AEP facilities, to the extent the costs are in excess of the corresponding costs that the electric utility would have incurred if it had not engaged in interconnected operations, but instead generated an equivalent amount of electric energy itself or purchased an equivalent amount of electric energy or capacity from other sources. Interconnection costs do not include any costs included in the calculation of avoided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“Interruptible power”</w:t>
      </w:r>
      <w:r>
        <w:rPr>
          <w:rFonts w:ascii="Times New Roman" w:hAnsi="Times New Roman"/>
          <w:b w:val="false"/>
          <w:i w:val="false"/>
          <w:color w:val="000000"/>
          <w:sz w:val="24"/>
        </w:rPr>
        <w:t> </w:t>
      </w:r>
      <w:r>
        <w:rPr>
          <w:rFonts w:ascii="Times New Roman" w:hAnsi="Times New Roman"/>
          <w:b w:val="false"/>
          <w:i w:val="false"/>
          <w:color w:val="000000"/>
          <w:sz w:val="24"/>
        </w:rPr>
        <w:t>means electric energy or capacity supplied by an electric utility subject to interruption by the electric utility under specified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“Maintenance power”</w:t>
      </w:r>
      <w:r>
        <w:rPr>
          <w:rFonts w:ascii="Times New Roman" w:hAnsi="Times New Roman"/>
          <w:b w:val="false"/>
          <w:i w:val="false"/>
          <w:color w:val="000000"/>
          <w:sz w:val="24"/>
        </w:rPr>
        <w:t> </w:t>
      </w:r>
      <w:r>
        <w:rPr>
          <w:rFonts w:ascii="Times New Roman" w:hAnsi="Times New Roman"/>
          <w:b w:val="false"/>
          <w:i w:val="false"/>
          <w:color w:val="000000"/>
          <w:sz w:val="24"/>
        </w:rPr>
        <w:t>means electric energy or capacity supplied by an electric utility during scheduled outages of qualifying facilities and AEP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“Purchase”</w:t>
      </w:r>
      <w:r>
        <w:rPr>
          <w:rFonts w:ascii="Times New Roman" w:hAnsi="Times New Roman"/>
          <w:b w:val="false"/>
          <w:i w:val="false"/>
          <w:color w:val="000000"/>
          <w:sz w:val="24"/>
        </w:rPr>
        <w:t> </w:t>
      </w:r>
      <w:r>
        <w:rPr>
          <w:rFonts w:ascii="Times New Roman" w:hAnsi="Times New Roman"/>
          <w:b w:val="false"/>
          <w:i w:val="false"/>
          <w:color w:val="000000"/>
          <w:sz w:val="24"/>
        </w:rPr>
        <w:t>means the purchase of electric energy or capacity or both from qualifying facilities and AEP facilities by an electric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“Qualifying facility”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cogeneration facility or a small power production facility that is a qualifying facility under </w:t>
      </w:r>
      <w:r>
        <w:rPr>
          <w:rFonts w:ascii="Times New Roman" w:hAnsi="Times New Roman"/>
          <w:b w:val="false"/>
          <w:i w:val="false"/>
          <w:color w:val="000000"/>
          <w:sz w:val="24"/>
        </w:rPr>
        <w:t>18 CFR Part 292</w:t>
      </w:r>
      <w:r>
        <w:rPr>
          <w:rFonts w:ascii="Times New Roman" w:hAnsi="Times New Roman"/>
          <w:b w:val="false"/>
          <w:i w:val="false"/>
          <w:color w:val="000000"/>
          <w:sz w:val="24"/>
        </w:rPr>
        <w:t>, Subpart B</w:t>
      </w:r>
      <w:r>
        <w:rPr>
          <w:rFonts w:ascii="Times New Roman" w:hAnsi="Times New Roman"/>
          <w:b w:val="false"/>
          <w:i w:val="false"/>
          <w:strike/>
          <w:color w:val="000000"/>
          <w:sz w:val="24"/>
        </w:rPr>
        <w:t>, in effect April 5, 2021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“Sale”</w:t>
      </w:r>
      <w:r>
        <w:rPr>
          <w:rFonts w:ascii="Times New Roman" w:hAnsi="Times New Roman"/>
          <w:b w:val="false"/>
          <w:i w:val="false"/>
          <w:color w:val="000000"/>
          <w:sz w:val="24"/>
        </w:rPr>
        <w:t> </w:t>
      </w:r>
      <w:r>
        <w:rPr>
          <w:rFonts w:ascii="Times New Roman" w:hAnsi="Times New Roman"/>
          <w:b w:val="false"/>
          <w:i w:val="false"/>
          <w:color w:val="000000"/>
          <w:sz w:val="24"/>
        </w:rPr>
        <w:t>means the sale of electric energy or capacity or both by an electric utility to qualifying facilities and AEP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“Supplementary power”</w:t>
      </w:r>
      <w:r>
        <w:rPr>
          <w:rFonts w:ascii="Times New Roman" w:hAnsi="Times New Roman"/>
          <w:b w:val="false"/>
          <w:i w:val="false"/>
          <w:color w:val="000000"/>
          <w:sz w:val="24"/>
        </w:rPr>
        <w:t> </w:t>
      </w:r>
      <w:r>
        <w:rPr>
          <w:rFonts w:ascii="Times New Roman" w:hAnsi="Times New Roman"/>
          <w:b w:val="false"/>
          <w:i w:val="false"/>
          <w:color w:val="000000"/>
          <w:sz w:val="24"/>
        </w:rPr>
        <w:t>means electric energy or capacity supplied by an electric utility, regularly used by qualifying facilities and AEP facilities in addition to that which the facility generates itself.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“System emergency”</w:t>
      </w:r>
      <w:r>
        <w:rPr>
          <w:rFonts w:ascii="Times New Roman" w:hAnsi="Times New Roman"/>
          <w:b w:val="false"/>
          <w:i w:val="false"/>
          <w:color w:val="000000"/>
          <w:sz w:val="24"/>
        </w:rPr>
        <w:t> </w:t>
      </w:r>
      <w:r>
        <w:rPr>
          <w:rFonts w:ascii="Times New Roman" w:hAnsi="Times New Roman"/>
          <w:b w:val="false"/>
          <w:i w:val="false"/>
          <w:color w:val="000000"/>
          <w:sz w:val="24"/>
        </w:rPr>
        <w:t>means a condition on a utility’s system that is likely to result in imminent significant disruption of service to customers or is imminently likely to endanger life or property.</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199—15.3(476)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199—15.3</w:t>
      </w:r>
      <w:r>
        <w:rPr>
          <w:rFonts w:ascii="Times New Roman" w:hAnsi="Times New Roman"/>
          <w:b/>
          <w:i w:val="false"/>
          <w:color w:val="000000"/>
          <w:sz w:val="24"/>
        </w:rPr>
        <w:t xml:space="preserve">(476) </w:t>
      </w:r>
      <w:r>
        <w:rPr>
          <w:rFonts w:ascii="Times New Roman" w:hAnsi="Times New Roman"/>
          <w:b/>
          <w:i w:val="false"/>
          <w:color w:val="000000"/>
          <w:sz w:val="24"/>
        </w:rPr>
        <w:t xml:space="preserve">Information to commission. </w:t>
      </w:r>
      <w:r>
        <w:rPr>
          <w:rFonts w:ascii="Times New Roman" w:hAnsi="Times New Roman"/>
          <w:b w:val="false"/>
          <w:i w:val="false"/>
          <w:color w:val="000000"/>
          <w:sz w:val="24"/>
        </w:rPr>
        <w:t xml:space="preserve">In addition to the information required to be supplied to the commission under </w:t>
      </w:r>
      <w:r>
        <w:rPr>
          <w:rFonts w:ascii="Times New Roman" w:hAnsi="Times New Roman"/>
          <w:b w:val="false"/>
          <w:i w:val="false"/>
          <w:color w:val="000000"/>
          <w:sz w:val="24"/>
        </w:rPr>
        <w:t>18 CFR 292.302</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in effect April 9, 1980,</w:t>
      </w:r>
      <w:r>
        <w:rPr>
          <w:rFonts w:ascii="Times New Roman" w:hAnsi="Times New Roman"/>
          <w:b w:val="false"/>
          <w:i w:val="false"/>
          <w:color w:val="000000"/>
          <w:sz w:val="24"/>
        </w:rPr>
        <w:t xml:space="preserve"> all rate-regulated electric utilities will maintain records of contracts executed for the purchase, sale, or resale of energy or capacity, which will be made available to the commission upon request. If the purchases or sales are made other than pursuant to the terms of a written contract, then information as to the relevant prices and conditions shall be maintained and made available to the commission upon request.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15.7(2)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15.7(2)</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 may waive this requirement pursuant to </w:t>
      </w:r>
      <w:r>
        <w:rPr>
          <w:rFonts w:ascii="Times New Roman" w:hAnsi="Times New Roman"/>
          <w:b w:val="false"/>
          <w:i w:val="false"/>
          <w:strike/>
          <w:color w:val="000000"/>
          <w:sz w:val="24"/>
        </w:rPr>
        <w:t xml:space="preserve">rule </w:t>
      </w:r>
      <w:hyperlink r:id="rId40">
        <w:r>
          <w:rPr>
            <w:rStyle w:val="Hyperlink"/>
            <w:rFonts w:ascii="Times New Roman" w:hAnsi="Times New Roman"/>
            <w:b w:val="false"/>
            <w:i w:val="false"/>
            <w:strike/>
            <w:color w:val="000000"/>
            <w:sz w:val="24"/>
          </w:rPr>
          <w:t>199—1.3</w:t>
        </w:r>
      </w:hyperlink>
      <w:r>
        <w:rPr>
          <w:rFonts w:ascii="Times New Roman" w:hAnsi="Times New Roman"/>
          <w:b w:val="false"/>
          <w:i w:val="false"/>
          <w:strike/>
          <w:color w:val="000000"/>
          <w:sz w:val="24"/>
        </w:rPr>
        <w:t>(17A,474)</w:t>
      </w:r>
      <w:r>
        <w:rPr>
          <w:rFonts w:ascii="Times New Roman" w:hAnsi="Times New Roman"/>
          <w:b w:val="false"/>
          <w:i w:val="false"/>
          <w:color w:val="000000"/>
          <w:sz w:val="24"/>
          <w:u w:val="single"/>
        </w:rPr>
        <w:t> </w:t>
      </w:r>
      <w:hyperlink r:id="rId41">
        <w:r>
          <w:rPr>
            <w:rStyle w:val="Hyperlink"/>
            <w:rFonts w:ascii="Times New Roman" w:hAnsi="Times New Roman"/>
            <w:b w:val="false"/>
            <w:i w:val="false"/>
            <w:color w:val="000000"/>
            <w:sz w:val="24"/>
            <w:u w:val="single"/>
          </w:rPr>
          <w:t>199—Chapter 2504</w:t>
        </w:r>
      </w:hyperlink>
      <w:r>
        <w:rPr>
          <w:rFonts w:ascii="Times New Roman" w:hAnsi="Times New Roman"/>
          <w:b w:val="false"/>
          <w:i w:val="false"/>
          <w:color w:val="000000"/>
          <w:sz w:val="24"/>
        </w:rPr>
        <w:t xml:space="preserve"> only after notice in the area served by the utility and an opportunity for public comment. The waiver may be granted if compliance with this rule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15.9(1)“a”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Standard for Interconnection and Interoperability of Distributed Energy Resources and Associated Electric Power System Interfaces, IEEE Standard 1547, </w:t>
      </w:r>
      <w:r>
        <w:rPr>
          <w:rFonts w:ascii="Times New Roman" w:hAnsi="Times New Roman"/>
          <w:b w:val="false"/>
          <w:i w:val="false"/>
          <w:strike/>
          <w:color w:val="000000"/>
          <w:sz w:val="24"/>
        </w:rPr>
        <w:t>in effect April 6, 2018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amended through March 9, 2020</w:t>
      </w:r>
      <w:r>
        <w:rPr>
          <w:rFonts w:ascii="Times New Roman" w:hAnsi="Times New Roman"/>
          <w:b w:val="false"/>
          <w:i w:val="false"/>
          <w:color w:val="000000"/>
          <w:sz w:val="24"/>
        </w:rPr>
        <w:t>. For guidance in applying IEEE Standard 1547, the utility may refer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199—16.1(476)</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“Code of Federal Regulations,”</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“Code of Federal Regulations”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“CFR”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Code of Federal Regulations, which contains the administrative rules adopted by federal departments and agencies, in effect as of </w:t>
      </w:r>
      <w:r>
        <w:rPr>
          <w:rFonts w:ascii="Times New Roman" w:hAnsi="Times New Roman"/>
          <w:b w:val="false"/>
          <w:i w:val="false"/>
          <w:strike/>
          <w:color w:val="000000"/>
          <w:sz w:val="24"/>
        </w:rPr>
        <w:t>July 16, 2025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[effective date of this rule]</w:t>
      </w:r>
      <w:r>
        <w:rPr>
          <w:rFonts w:ascii="Times New Roman" w:hAnsi="Times New Roman"/>
          <w:b w:val="false"/>
          <w:i w:val="false"/>
          <w:color w:val="000000"/>
          <w:sz w:val="24"/>
        </w:rPr>
        <w:t>, unless a separate effective date is identified in a specific rule.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199—16.2(476)</w:t>
      </w:r>
      <w:r>
        <w:rPr>
          <w:rFonts w:ascii="Times New Roman" w:hAnsi="Times New Roman"/>
          <w:b w:val="false"/>
          <w:i w:val="false"/>
          <w:color w:val="000000"/>
          <w:sz w:val="24"/>
        </w:rPr>
        <w:t>, introductory paragraph</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199—16.2</w:t>
      </w:r>
      <w:r>
        <w:rPr>
          <w:rFonts w:ascii="Times New Roman" w:hAnsi="Times New Roman"/>
          <w:b/>
          <w:i w:val="false"/>
          <w:color w:val="000000"/>
          <w:sz w:val="24"/>
        </w:rPr>
        <w:t xml:space="preserve">(476) </w:t>
      </w:r>
      <w:r>
        <w:rPr>
          <w:rFonts w:ascii="Times New Roman" w:hAnsi="Times New Roman"/>
          <w:b/>
          <w:i w:val="false"/>
          <w:color w:val="000000"/>
          <w:sz w:val="24"/>
        </w:rPr>
        <w:t xml:space="preserve">Uniform systems of accounts—electric. </w:t>
      </w:r>
      <w:r>
        <w:rPr>
          <w:rFonts w:ascii="Times New Roman" w:hAnsi="Times New Roman"/>
          <w:b w:val="false"/>
          <w:i w:val="false"/>
          <w:color w:val="000000"/>
          <w:sz w:val="24"/>
        </w:rPr>
        <w:t xml:space="preserve">The uniform systems of accounts for public utilities and licensees subject to the provisions of the Federal Power Act, </w:t>
      </w:r>
      <w:r>
        <w:rPr>
          <w:rFonts w:ascii="Times New Roman" w:hAnsi="Times New Roman"/>
          <w:b w:val="false"/>
          <w:i w:val="false"/>
          <w:color w:val="000000"/>
          <w:sz w:val="24"/>
        </w:rPr>
        <w:t>18 CFR Part 101</w:t>
      </w:r>
      <w:r>
        <w:rPr>
          <w:rFonts w:ascii="Times New Roman" w:hAnsi="Times New Roman"/>
          <w:b w:val="false"/>
          <w:i w:val="false"/>
          <w:color w:val="000000"/>
          <w:sz w:val="24"/>
        </w:rPr>
        <w:t xml:space="preserve"> published in the Federal Energy Regulatory Commission’s (FERC’s) rules and regulations, and the </w:t>
      </w:r>
      <w:r>
        <w:rPr>
          <w:rFonts w:ascii="Times New Roman" w:hAnsi="Times New Roman"/>
          <w:b w:val="false"/>
          <w:i w:val="false"/>
          <w:strike/>
          <w:color w:val="000000"/>
          <w:sz w:val="24"/>
        </w:rPr>
        <w:t>July 16, 2025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[effective date of this rule]</w:t>
      </w:r>
      <w:r>
        <w:rPr>
          <w:rFonts w:ascii="Times New Roman" w:hAnsi="Times New Roman"/>
          <w:b w:val="false"/>
          <w:i w:val="false"/>
          <w:color w:val="000000"/>
          <w:sz w:val="24"/>
        </w:rPr>
        <w:t>, uniform systems of accounts for rural electric cooperatives prescribed for electric borrowers of the Rural Utilities Service (RUS), as applicable, are adopted with the following modifications: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17.8(2)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17.8(2)</w:t>
      </w:r>
      <w:r>
        <w:rPr>
          <w:rFonts w:ascii="Times New Roman" w:hAnsi="Times New Roman"/>
          <w:b w:val="false"/>
          <w:i w:val="false"/>
          <w:color w:val="000000"/>
          <w:sz w:val="24"/>
        </w:rPr>
        <w:t> </w:t>
      </w:r>
      <w:r>
        <w:rPr>
          <w:rFonts w:ascii="Times New Roman" w:hAnsi="Times New Roman"/>
          <w:b w:val="false"/>
          <w:i w:val="false"/>
          <w:color w:val="000000"/>
          <w:sz w:val="24"/>
        </w:rPr>
        <w:t xml:space="preserve">Wireless carriers and wireline local exchange carriers shall file the number of telecommunications service phone numbers with the commission. The number of telecommunications service phone numbers may be filed as confidential and may be withheld from public inspection pursuant to the procedures in </w:t>
      </w:r>
      <w:hyperlink r:id="rId42">
        <w:r>
          <w:rPr>
            <w:rStyle w:val="Hyperlink"/>
            <w:rFonts w:ascii="Times New Roman" w:hAnsi="Times New Roman"/>
            <w:b w:val="false"/>
            <w:i w:val="false"/>
            <w:strike/>
            <w:color w:val="000000"/>
            <w:sz w:val="24"/>
          </w:rPr>
          <w:t>199—Chapter 1</w:t>
        </w:r>
      </w:hyperlink>
      <w:r>
        <w:rPr>
          <w:rFonts w:ascii="Times New Roman" w:hAnsi="Times New Roman"/>
          <w:b w:val="false"/>
          <w:i w:val="false"/>
          <w:color w:val="000000"/>
          <w:sz w:val="24"/>
          <w:u w:val="single"/>
        </w:rPr>
        <w:t> </w:t>
      </w:r>
      <w:hyperlink r:id="rId43">
        <w:r>
          <w:rPr>
            <w:rStyle w:val="Hyperlink"/>
            <w:rFonts w:ascii="Times New Roman" w:hAnsi="Times New Roman"/>
            <w:b w:val="false"/>
            <w:i w:val="false"/>
            <w:color w:val="000000"/>
            <w:sz w:val="24"/>
            <w:u w:val="single"/>
          </w:rPr>
          <w:t>7—Chapter 2505</w:t>
        </w:r>
      </w:hyperlink>
      <w:r>
        <w:rPr>
          <w:rFonts w:ascii="Times New Roman" w:hAnsi="Times New Roman"/>
          <w:b w:val="false"/>
          <w:i w:val="false"/>
          <w:color w:val="000000"/>
          <w:sz w:val="24"/>
          <w:u w:val="single"/>
        </w:rPr>
        <w:t xml:space="preserve"> and </w:t>
      </w:r>
      <w:hyperlink r:id="rId44">
        <w:r>
          <w:rPr>
            <w:rStyle w:val="Hyperlink"/>
            <w:rFonts w:ascii="Times New Roman" w:hAnsi="Times New Roman"/>
            <w:b w:val="false"/>
            <w:i w:val="false"/>
            <w:color w:val="000000"/>
            <w:sz w:val="24"/>
            <w:u w:val="single"/>
          </w:rPr>
          <w:t>199—Chapter 2505</w:t>
        </w:r>
      </w:hyperlink>
      <w:r>
        <w:rPr>
          <w:rFonts w:ascii="Times New Roman" w:hAnsi="Times New Roman"/>
          <w:b w:val="false"/>
          <w:i w:val="false"/>
          <w:color w:val="000000"/>
          <w:sz w:val="24"/>
        </w:rPr>
        <w:t xml:space="preserve">.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29.</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“Code of Federal Regulations”</w:t>
      </w:r>
      <w:r>
        <w:rPr>
          <w:rFonts w:ascii="Times New Roman" w:hAnsi="Times New Roman"/>
          <w:b w:val="false"/>
          <w:i w:val="false"/>
          <w:color w:val="000000"/>
          <w:sz w:val="24"/>
        </w:rPr>
        <w:t xml:space="preserve"> in rule </w:t>
      </w:r>
      <w:r>
        <w:rPr>
          <w:rFonts w:ascii="Times New Roman" w:hAnsi="Times New Roman"/>
          <w:b/>
          <w:i w:val="false"/>
          <w:color w:val="000000"/>
          <w:sz w:val="24"/>
        </w:rPr>
        <w:t>199—18.1(476)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“Code of Federal Regulations”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“CFR”</w:t>
      </w:r>
      <w:r>
        <w:rPr>
          <w:rFonts w:ascii="Times New Roman" w:hAnsi="Times New Roman"/>
          <w:b w:val="false"/>
          <w:i w:val="false"/>
          <w:color w:val="000000"/>
          <w:sz w:val="24"/>
        </w:rPr>
        <w:t> </w:t>
      </w:r>
      <w:r>
        <w:rPr>
          <w:rFonts w:ascii="Times New Roman" w:hAnsi="Times New Roman"/>
          <w:b w:val="false"/>
          <w:i w:val="false"/>
          <w:color w:val="000000"/>
          <w:sz w:val="24"/>
        </w:rPr>
        <w:t>means the Code of Federal Regulations, which contains the administrative rules adopted by federal departments and agencies, in effect as of [effective date of this rule], unless a separate effective date is identified in a specific rule.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199—18.4(476)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199—18.4</w:t>
      </w:r>
      <w:r>
        <w:rPr>
          <w:rFonts w:ascii="Times New Roman" w:hAnsi="Times New Roman"/>
          <w:b/>
          <w:i w:val="false"/>
          <w:color w:val="000000"/>
          <w:sz w:val="24"/>
        </w:rPr>
        <w:t xml:space="preserve">(476) </w:t>
      </w:r>
      <w:r>
        <w:rPr>
          <w:rFonts w:ascii="Times New Roman" w:hAnsi="Times New Roman"/>
          <w:b/>
          <w:i w:val="false"/>
          <w:color w:val="000000"/>
          <w:sz w:val="24"/>
        </w:rPr>
        <w:t xml:space="preserve">Electric utilities other than rural electric cooperatives.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18.4(1)</w:t>
      </w:r>
      <w:r>
        <w:rPr>
          <w:rFonts w:ascii="Times New Roman" w:hAnsi="Times New Roman"/>
          <w:b w:val="false"/>
          <w:i w:val="false"/>
          <w:color w:val="000000"/>
          <w:sz w:val="24"/>
        </w:rPr>
        <w:t> </w:t>
      </w:r>
      <w:r>
        <w:rPr>
          <w:rFonts w:ascii="Times New Roman" w:hAnsi="Times New Roman"/>
          <w:b w:val="false"/>
          <w:i/>
          <w:color w:val="000000"/>
          <w:sz w:val="24"/>
        </w:rPr>
        <w:t xml:space="preserve">Units of property. </w:t>
      </w:r>
      <w:r>
        <w:rPr>
          <w:rFonts w:ascii="Times New Roman" w:hAnsi="Times New Roman"/>
          <w:b w:val="false"/>
          <w:i w:val="false"/>
          <w:color w:val="000000"/>
          <w:sz w:val="24"/>
        </w:rPr>
        <w:t xml:space="preserve">Rate-regulated electric utilities shall maintain an accounting system for Units of Property in Accounting for Additions and Retirements of Electric Plant in accordance with </w:t>
      </w:r>
      <w:r>
        <w:rPr>
          <w:rFonts w:ascii="Times New Roman" w:hAnsi="Times New Roman"/>
          <w:b w:val="false"/>
          <w:i w:val="false"/>
          <w:strike/>
          <w:color w:val="000000"/>
          <w:sz w:val="24"/>
        </w:rPr>
        <w:t xml:space="preserve">the “Uniform systems of accounts—electric rules” rule in </w:t>
      </w:r>
      <w:hyperlink r:id="rId45">
        <w:r>
          <w:rPr>
            <w:rStyle w:val="Hyperlink"/>
            <w:rFonts w:ascii="Times New Roman" w:hAnsi="Times New Roman"/>
            <w:b w:val="false"/>
            <w:i w:val="false"/>
            <w:strike/>
            <w:color w:val="000000"/>
            <w:sz w:val="24"/>
          </w:rPr>
          <w:t>199—Chapter 16</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rule </w:t>
      </w:r>
      <w:hyperlink r:id="rId46">
        <w:r>
          <w:rPr>
            <w:rStyle w:val="Hyperlink"/>
            <w:rFonts w:ascii="Times New Roman" w:hAnsi="Times New Roman"/>
            <w:b w:val="false"/>
            <w:i w:val="false"/>
            <w:color w:val="000000"/>
            <w:sz w:val="24"/>
            <w:u w:val="single"/>
          </w:rPr>
          <w:t>199—16.2</w:t>
        </w:r>
      </w:hyperlink>
      <w:r>
        <w:rPr>
          <w:rFonts w:ascii="Times New Roman" w:hAnsi="Times New Roman"/>
          <w:b w:val="false"/>
          <w:i w:val="false"/>
          <w:color w:val="000000"/>
          <w:sz w:val="24"/>
          <w:u w:val="single"/>
        </w:rPr>
        <w:t>(476)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18.4(2)</w:t>
      </w:r>
      <w:r>
        <w:rPr>
          <w:rFonts w:ascii="Times New Roman" w:hAnsi="Times New Roman"/>
          <w:b w:val="false"/>
          <w:i w:val="false"/>
          <w:color w:val="000000"/>
          <w:sz w:val="24"/>
        </w:rPr>
        <w:t> </w:t>
      </w:r>
      <w:r>
        <w:rPr>
          <w:rFonts w:ascii="Times New Roman" w:hAnsi="Times New Roman"/>
          <w:b w:val="false"/>
          <w:i/>
          <w:color w:val="000000"/>
          <w:sz w:val="24"/>
        </w:rPr>
        <w:t xml:space="preserve">Preservation of records. </w:t>
      </w:r>
      <w:r>
        <w:rPr>
          <w:rFonts w:ascii="Times New Roman" w:hAnsi="Times New Roman"/>
          <w:b w:val="false"/>
          <w:i w:val="false"/>
          <w:color w:val="000000"/>
          <w:sz w:val="24"/>
        </w:rPr>
        <w:t xml:space="preserve">All electric utilities subject to regulation by the commission shall preserve the records of their operations in accordance with the provisions of Part 125 of the FERC rules, </w:t>
      </w:r>
      <w:r>
        <w:rPr>
          <w:rFonts w:ascii="Times New Roman" w:hAnsi="Times New Roman"/>
          <w:b w:val="false"/>
          <w:i w:val="false"/>
          <w:color w:val="000000"/>
          <w:sz w:val="24"/>
        </w:rPr>
        <w:t>18 CFR Part 125</w:t>
      </w:r>
      <w:r>
        <w:rPr>
          <w:rFonts w:ascii="Times New Roman" w:hAnsi="Times New Roman"/>
          <w:b w:val="false"/>
          <w:i w:val="false"/>
          <w:color w:val="000000"/>
          <w:sz w:val="24"/>
        </w:rPr>
        <w:t>, Preservation of Records of Public Utilities and Licensees</w:t>
      </w:r>
      <w:r>
        <w:rPr>
          <w:rFonts w:ascii="Times New Roman" w:hAnsi="Times New Roman"/>
          <w:b w:val="false"/>
          <w:i w:val="false"/>
          <w:strike/>
          <w:color w:val="000000"/>
          <w:sz w:val="24"/>
        </w:rPr>
        <w:t>, as issued on August 15, 2000</w:t>
      </w:r>
      <w:r>
        <w:rPr>
          <w:rFonts w:ascii="Times New Roman" w:hAnsi="Times New Roman"/>
          <w:b w:val="false"/>
          <w:i w:val="false"/>
          <w:color w:val="000000"/>
          <w:sz w:val="24"/>
        </w:rPr>
        <w:t xml:space="preserve">. Rate-regulated companies shall further ensure the preservation of records of associated companies, whether or not the associated companies are themselves utilities, as necessary to support the cost of services rendered to the utility by the associated companies. </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18.5(1)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18.5(1)</w:t>
      </w:r>
      <w:r>
        <w:rPr>
          <w:rFonts w:ascii="Times New Roman" w:hAnsi="Times New Roman"/>
          <w:b w:val="false"/>
          <w:i w:val="false"/>
          <w:color w:val="000000"/>
          <w:sz w:val="24"/>
        </w:rPr>
        <w:t> </w:t>
      </w:r>
      <w:r>
        <w:rPr>
          <w:rFonts w:ascii="Times New Roman" w:hAnsi="Times New Roman"/>
          <w:b w:val="false"/>
          <w:i/>
          <w:color w:val="000000"/>
          <w:sz w:val="24"/>
        </w:rPr>
        <w:t xml:space="preserve">Units of property. </w:t>
      </w:r>
      <w:r>
        <w:rPr>
          <w:rFonts w:ascii="Times New Roman" w:hAnsi="Times New Roman"/>
          <w:b w:val="false"/>
          <w:i w:val="false"/>
          <w:color w:val="000000"/>
          <w:sz w:val="24"/>
        </w:rPr>
        <w:t xml:space="preserve">Rural electric cooperatives (RECs) subject to rate regulation by the commission shall adopt the RUS rules contained in </w:t>
      </w:r>
      <w:r>
        <w:rPr>
          <w:rFonts w:ascii="Times New Roman" w:hAnsi="Times New Roman"/>
          <w:b w:val="false"/>
          <w:i w:val="false"/>
          <w:color w:val="000000"/>
          <w:sz w:val="24"/>
        </w:rPr>
        <w:t>7 CFR Part 1767</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published May 27, 2008</w:t>
      </w:r>
      <w:r>
        <w:rPr>
          <w:rFonts w:ascii="Times New Roman" w:hAnsi="Times New Roman"/>
          <w:b w:val="false"/>
          <w:i w:val="false"/>
          <w:color w:val="000000"/>
          <w:sz w:val="24"/>
        </w:rPr>
        <w:t xml:space="preserve">. The REC shall maintain sufficient records to support additions to plant, retirement units, and replacements of electric plant, in accordance with 7 CFR Section 1767.10, Definitions; 7 CFR Section 1767.15, General Instructions; 7 CFR Section 1767.16, Electric Plant Instructions; and 7 CFR Section 1767.20, Plant Accounts.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199—18.6(476)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199—18.6</w:t>
      </w:r>
      <w:r>
        <w:rPr>
          <w:rFonts w:ascii="Times New Roman" w:hAnsi="Times New Roman"/>
          <w:b/>
          <w:i w:val="false"/>
          <w:color w:val="000000"/>
          <w:sz w:val="24"/>
        </w:rPr>
        <w:t xml:space="preserve">(476) </w:t>
      </w:r>
      <w:r>
        <w:rPr>
          <w:rFonts w:ascii="Times New Roman" w:hAnsi="Times New Roman"/>
          <w:b/>
          <w:i w:val="false"/>
          <w:color w:val="000000"/>
          <w:sz w:val="24"/>
        </w:rPr>
        <w:t xml:space="preserve">Gas utilities.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18.6(1)</w:t>
      </w:r>
      <w:r>
        <w:rPr>
          <w:rFonts w:ascii="Times New Roman" w:hAnsi="Times New Roman"/>
          <w:b w:val="false"/>
          <w:i w:val="false"/>
          <w:color w:val="000000"/>
          <w:sz w:val="24"/>
        </w:rPr>
        <w:t> </w:t>
      </w:r>
      <w:r>
        <w:rPr>
          <w:rFonts w:ascii="Times New Roman" w:hAnsi="Times New Roman"/>
          <w:b w:val="false"/>
          <w:i/>
          <w:color w:val="000000"/>
          <w:sz w:val="24"/>
        </w:rPr>
        <w:t xml:space="preserve">Units of property. </w:t>
      </w:r>
      <w:r>
        <w:rPr>
          <w:rFonts w:ascii="Times New Roman" w:hAnsi="Times New Roman"/>
          <w:b w:val="false"/>
          <w:i w:val="false"/>
          <w:color w:val="000000"/>
          <w:sz w:val="24"/>
        </w:rPr>
        <w:t xml:space="preserve">Rate-regulated gas utilities shall maintain an accounting system for Units of Property in Accounting for Additions and Retirements of Gas Plant in accordance with </w:t>
      </w:r>
      <w:r>
        <w:rPr>
          <w:rFonts w:ascii="Times New Roman" w:hAnsi="Times New Roman"/>
          <w:b w:val="false"/>
          <w:i w:val="false"/>
          <w:strike/>
          <w:color w:val="000000"/>
          <w:sz w:val="24"/>
        </w:rPr>
        <w:t xml:space="preserve">the “Uniform systems of accounts—electric rules” rule in </w:t>
      </w:r>
      <w:hyperlink r:id="rId47">
        <w:r>
          <w:rPr>
            <w:rStyle w:val="Hyperlink"/>
            <w:rFonts w:ascii="Times New Roman" w:hAnsi="Times New Roman"/>
            <w:b w:val="false"/>
            <w:i w:val="false"/>
            <w:strike/>
            <w:color w:val="000000"/>
            <w:sz w:val="24"/>
          </w:rPr>
          <w:t>199—Chapter 16</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rule </w:t>
      </w:r>
      <w:hyperlink r:id="rId48">
        <w:r>
          <w:rPr>
            <w:rStyle w:val="Hyperlink"/>
            <w:rFonts w:ascii="Times New Roman" w:hAnsi="Times New Roman"/>
            <w:b w:val="false"/>
            <w:i w:val="false"/>
            <w:color w:val="000000"/>
            <w:sz w:val="24"/>
            <w:u w:val="single"/>
          </w:rPr>
          <w:t>199—16.3</w:t>
        </w:r>
      </w:hyperlink>
      <w:r>
        <w:rPr>
          <w:rFonts w:ascii="Times New Roman" w:hAnsi="Times New Roman"/>
          <w:b w:val="false"/>
          <w:i w:val="false"/>
          <w:color w:val="000000"/>
          <w:sz w:val="24"/>
          <w:u w:val="single"/>
        </w:rPr>
        <w:t>(476)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18.6(2)</w:t>
      </w:r>
      <w:r>
        <w:rPr>
          <w:rFonts w:ascii="Times New Roman" w:hAnsi="Times New Roman"/>
          <w:b w:val="false"/>
          <w:i w:val="false"/>
          <w:color w:val="000000"/>
          <w:sz w:val="24"/>
        </w:rPr>
        <w:t> </w:t>
      </w:r>
      <w:r>
        <w:rPr>
          <w:rFonts w:ascii="Times New Roman" w:hAnsi="Times New Roman"/>
          <w:b w:val="false"/>
          <w:i/>
          <w:color w:val="000000"/>
          <w:sz w:val="24"/>
        </w:rPr>
        <w:t xml:space="preserve">Preservation of records. </w:t>
      </w:r>
      <w:r>
        <w:rPr>
          <w:rFonts w:ascii="Times New Roman" w:hAnsi="Times New Roman"/>
          <w:b w:val="false"/>
          <w:i w:val="false"/>
          <w:color w:val="000000"/>
          <w:sz w:val="24"/>
        </w:rPr>
        <w:t xml:space="preserve">All gas utilities subject to regulation by the commission shall preserve the records of their operations in accordance with the provisions of FERC rules, </w:t>
      </w:r>
      <w:r>
        <w:rPr>
          <w:rFonts w:ascii="Times New Roman" w:hAnsi="Times New Roman"/>
          <w:b w:val="false"/>
          <w:i w:val="false"/>
          <w:color w:val="000000"/>
          <w:sz w:val="24"/>
        </w:rPr>
        <w:t>18 CFR Part 225</w:t>
      </w:r>
      <w:r>
        <w:rPr>
          <w:rFonts w:ascii="Times New Roman" w:hAnsi="Times New Roman"/>
          <w:b w:val="false"/>
          <w:i w:val="false"/>
          <w:color w:val="000000"/>
          <w:sz w:val="24"/>
        </w:rPr>
        <w:t>, Preservation of Records of Natural Gas Companies</w:t>
      </w:r>
      <w:r>
        <w:rPr>
          <w:rFonts w:ascii="Times New Roman" w:hAnsi="Times New Roman"/>
          <w:b w:val="false"/>
          <w:i w:val="false"/>
          <w:strike/>
          <w:color w:val="000000"/>
          <w:sz w:val="24"/>
        </w:rPr>
        <w:t>, as issued August 15, 2000</w:t>
      </w:r>
      <w:r>
        <w:rPr>
          <w:rFonts w:ascii="Times New Roman" w:hAnsi="Times New Roman"/>
          <w:b w:val="false"/>
          <w:i w:val="false"/>
          <w:color w:val="000000"/>
          <w:sz w:val="24"/>
        </w:rPr>
        <w:t>. Rate-regulated companies shall further ensure the preservation of records of associated companies, whether or not the associated companies are themselves utilities, as necessary to support the cost of services rendered to the utility by the associated companies.</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199—18.7(476)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199—18.7</w:t>
      </w:r>
      <w:r>
        <w:rPr>
          <w:rFonts w:ascii="Times New Roman" w:hAnsi="Times New Roman"/>
          <w:b/>
          <w:i w:val="false"/>
          <w:color w:val="000000"/>
          <w:sz w:val="24"/>
        </w:rPr>
        <w:t xml:space="preserve">(476) </w:t>
      </w:r>
      <w:r>
        <w:rPr>
          <w:rFonts w:ascii="Times New Roman" w:hAnsi="Times New Roman"/>
          <w:b/>
          <w:i w:val="false"/>
          <w:color w:val="000000"/>
          <w:sz w:val="24"/>
        </w:rPr>
        <w:t xml:space="preserve">Water, sanitary sewage, and storm water drainage utilities.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18.7(1)</w:t>
      </w:r>
      <w:r>
        <w:rPr>
          <w:rFonts w:ascii="Times New Roman" w:hAnsi="Times New Roman"/>
          <w:b w:val="false"/>
          <w:i w:val="false"/>
          <w:color w:val="000000"/>
          <w:sz w:val="24"/>
        </w:rPr>
        <w:t> </w:t>
      </w:r>
      <w:r>
        <w:rPr>
          <w:rFonts w:ascii="Times New Roman" w:hAnsi="Times New Roman"/>
          <w:b w:val="false"/>
          <w:i/>
          <w:color w:val="000000"/>
          <w:sz w:val="24"/>
        </w:rPr>
        <w:t xml:space="preserve">Units of property. </w:t>
      </w:r>
      <w:r>
        <w:rPr>
          <w:rFonts w:ascii="Times New Roman" w:hAnsi="Times New Roman"/>
          <w:b w:val="false"/>
          <w:i w:val="false"/>
          <w:color w:val="000000"/>
          <w:sz w:val="24"/>
        </w:rPr>
        <w:t xml:space="preserve">Rate-regulated water, sanitary sewage, and storm water drainage utilities shall maintain an accounting system for Units of Property in Accounting for Additions and Retirements of Water Plant in accordance with </w:t>
      </w:r>
      <w:r>
        <w:rPr>
          <w:rFonts w:ascii="Times New Roman" w:hAnsi="Times New Roman"/>
          <w:b w:val="false"/>
          <w:i w:val="false"/>
          <w:strike/>
          <w:color w:val="000000"/>
          <w:sz w:val="24"/>
        </w:rPr>
        <w:t xml:space="preserve">the “Uniform systems of accounts—electric rules” rule in </w:t>
      </w:r>
      <w:hyperlink r:id="rId49">
        <w:r>
          <w:rPr>
            <w:rStyle w:val="Hyperlink"/>
            <w:rFonts w:ascii="Times New Roman" w:hAnsi="Times New Roman"/>
            <w:b w:val="false"/>
            <w:i w:val="false"/>
            <w:strike/>
            <w:color w:val="000000"/>
            <w:sz w:val="24"/>
          </w:rPr>
          <w:t>199—Chapter 16</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rules </w:t>
      </w:r>
      <w:hyperlink r:id="rId50">
        <w:r>
          <w:rPr>
            <w:rStyle w:val="Hyperlink"/>
            <w:rFonts w:ascii="Times New Roman" w:hAnsi="Times New Roman"/>
            <w:b w:val="false"/>
            <w:i w:val="false"/>
            <w:color w:val="000000"/>
            <w:sz w:val="24"/>
            <w:u w:val="single"/>
          </w:rPr>
          <w:t>199—16.4</w:t>
        </w:r>
      </w:hyperlink>
      <w:r>
        <w:rPr>
          <w:rFonts w:ascii="Times New Roman" w:hAnsi="Times New Roman"/>
          <w:b w:val="false"/>
          <w:i w:val="false"/>
          <w:color w:val="000000"/>
          <w:sz w:val="24"/>
          <w:u w:val="single"/>
        </w:rPr>
        <w:t xml:space="preserve">(476) and </w:t>
      </w:r>
      <w:hyperlink r:id="rId51">
        <w:r>
          <w:rPr>
            <w:rStyle w:val="Hyperlink"/>
            <w:rFonts w:ascii="Times New Roman" w:hAnsi="Times New Roman"/>
            <w:b w:val="false"/>
            <w:i w:val="false"/>
            <w:color w:val="000000"/>
            <w:sz w:val="24"/>
            <w:u w:val="single"/>
          </w:rPr>
          <w:t>199—16.5</w:t>
        </w:r>
      </w:hyperlink>
      <w:r>
        <w:rPr>
          <w:rFonts w:ascii="Times New Roman" w:hAnsi="Times New Roman"/>
          <w:b w:val="false"/>
          <w:i w:val="false"/>
          <w:color w:val="000000"/>
          <w:sz w:val="24"/>
          <w:u w:val="single"/>
        </w:rPr>
        <w:t>(476)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18.7(2)</w:t>
      </w:r>
      <w:r>
        <w:rPr>
          <w:rFonts w:ascii="Times New Roman" w:hAnsi="Times New Roman"/>
          <w:b w:val="false"/>
          <w:i w:val="false"/>
          <w:color w:val="000000"/>
          <w:sz w:val="24"/>
        </w:rPr>
        <w:t> </w:t>
      </w:r>
      <w:r>
        <w:rPr>
          <w:rFonts w:ascii="Times New Roman" w:hAnsi="Times New Roman"/>
          <w:b w:val="false"/>
          <w:i/>
          <w:color w:val="000000"/>
          <w:sz w:val="24"/>
        </w:rPr>
        <w:t xml:space="preserve">Preservation of records. </w:t>
      </w:r>
      <w:r>
        <w:rPr>
          <w:rFonts w:ascii="Times New Roman" w:hAnsi="Times New Roman"/>
          <w:b w:val="false"/>
          <w:i w:val="false"/>
          <w:color w:val="000000"/>
          <w:sz w:val="24"/>
        </w:rPr>
        <w:t xml:space="preserve">All water, sanitary sewage, and storm water drainage utilities subject to regulation by the commission shall preserve the records of their operations in accordance with the provisions of the NARUC guidelines: Regulations to Govern the Preservation of Records of Electric, Gas and Water Utilities, revised </w:t>
      </w:r>
      <w:r>
        <w:rPr>
          <w:rFonts w:ascii="Times New Roman" w:hAnsi="Times New Roman"/>
          <w:b w:val="false"/>
          <w:i w:val="false"/>
          <w:strike/>
          <w:color w:val="000000"/>
          <w:sz w:val="24"/>
        </w:rPr>
        <w:t>October 2007</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xml:space="preserve"> edition. Regulated water, sanitary sewage, and storm water drainage utilities shall further ensure the preservation of records of associated companies, whether or not the associated companies are themselves utilities, as necessary to support the cost of services rendered to the utility by the associated companies.</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20.3(1)“d”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Master-metering to multiple buildings is prohibited, except for multiple buildings owned by the same person or entity. Multitenant buildings within a multiple building complex may be master-metered pursuant to this paragraph only if the requirements of paragraph </w:t>
      </w:r>
      <w:hyperlink r:id="rId52">
        <w:r>
          <w:rPr>
            <w:rStyle w:val="Hyperlink"/>
            <w:rFonts w:ascii="Times New Roman" w:hAnsi="Times New Roman"/>
            <w:b w:val="false"/>
            <w:i w:val="false"/>
            <w:strike/>
            <w:color w:val="000000"/>
            <w:sz w:val="24"/>
          </w:rPr>
          <w:t>20.3(1)</w:t>
        </w:r>
      </w:hyperlink>
      <w:r>
        <w:rPr>
          <w:rFonts w:ascii="Times New Roman" w:hAnsi="Times New Roman"/>
          <w:b w:val="false"/>
          <w:i/>
          <w:strike/>
          <w:color w:val="000000"/>
          <w:sz w:val="24"/>
        </w:rPr>
        <w:t>“c”</w:t>
      </w:r>
      <w:r>
        <w:rPr>
          <w:rFonts w:ascii="Times New Roman" w:hAnsi="Times New Roman"/>
          <w:b w:val="false"/>
          <w:i w:val="false"/>
          <w:color w:val="000000"/>
          <w:sz w:val="24"/>
          <w:u w:val="single"/>
        </w:rPr>
        <w:t> </w:t>
      </w:r>
      <w:hyperlink r:id="rId53">
        <w:r>
          <w:rPr>
            <w:rStyle w:val="Hyperlink"/>
            <w:rFonts w:ascii="Times New Roman" w:hAnsi="Times New Roman"/>
            <w:b w:val="false"/>
            <w:i w:val="false"/>
            <w:color w:val="000000"/>
            <w:sz w:val="24"/>
            <w:u w:val="single"/>
          </w:rPr>
          <w:t>20.3(1)</w:t>
        </w:r>
      </w:hyperlink>
      <w:r>
        <w:rPr>
          <w:rFonts w:ascii="Times New Roman" w:hAnsi="Times New Roman"/>
          <w:b w:val="false"/>
          <w:i/>
          <w:color w:val="000000"/>
          <w:sz w:val="24"/>
          <w:u w:val="single"/>
        </w:rPr>
        <w:t>“b”</w:t>
      </w:r>
      <w:r>
        <w:rPr>
          <w:rFonts w:ascii="Times New Roman" w:hAnsi="Times New Roman"/>
          <w:b w:val="false"/>
          <w:i w:val="false"/>
          <w:color w:val="000000"/>
          <w:sz w:val="24"/>
        </w:rPr>
        <w:t xml:space="preserve"> have been met.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199—24.2(476A)</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“Intervenor,”</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“Intervenor”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received notice under paragraph </w:t>
      </w:r>
      <w:hyperlink r:id="rId54">
        <w:r>
          <w:rPr>
            <w:rStyle w:val="Hyperlink"/>
            <w:rFonts w:ascii="Times New Roman" w:hAnsi="Times New Roman"/>
            <w:b w:val="false"/>
            <w:i w:val="false"/>
            <w:color w:val="000000"/>
            <w:sz w:val="24"/>
          </w:rPr>
          <w:t>24.6(2)</w:t>
        </w:r>
      </w:hyperlink>
      <w:r>
        <w:rPr>
          <w:rFonts w:ascii="Times New Roman" w:hAnsi="Times New Roman"/>
          <w:b w:val="false"/>
          <w:i/>
          <w:color w:val="000000"/>
          <w:sz w:val="24"/>
        </w:rPr>
        <w:t>“b,”</w:t>
      </w:r>
      <w:r>
        <w:rPr>
          <w:rFonts w:ascii="Times New Roman" w:hAnsi="Times New Roman"/>
          <w:b w:val="false"/>
          <w:i/>
          <w:color w:val="000000"/>
          <w:sz w:val="24"/>
        </w:rPr>
        <w:t>“c,”</w:t>
      </w:r>
      <w:r>
        <w:rPr>
          <w:rFonts w:ascii="Times New Roman" w:hAnsi="Times New Roman"/>
          <w:b w:val="false"/>
          <w:i/>
          <w:color w:val="000000"/>
          <w:sz w:val="24"/>
        </w:rPr>
        <w:t xml:space="preserve">“d,” </w:t>
      </w:r>
      <w:r>
        <w:rPr>
          <w:rFonts w:ascii="Times New Roman" w:hAnsi="Times New Roman"/>
          <w:b w:val="false"/>
          <w:i/>
          <w:color w:val="000000"/>
          <w:sz w:val="24"/>
        </w:rPr>
        <w:t>“e,”</w:t>
      </w:r>
      <w:r>
        <w:rPr>
          <w:rFonts w:ascii="Times New Roman" w:hAnsi="Times New Roman"/>
          <w:b w:val="false"/>
          <w:i w:val="false"/>
          <w:color w:val="000000"/>
          <w:sz w:val="24"/>
        </w:rPr>
        <w:t xml:space="preserve"> or </w:t>
      </w:r>
      <w:r>
        <w:rPr>
          <w:rFonts w:ascii="Times New Roman" w:hAnsi="Times New Roman"/>
          <w:b w:val="false"/>
          <w:i/>
          <w:color w:val="000000"/>
          <w:sz w:val="24"/>
        </w:rPr>
        <w:t>“f”</w:t>
      </w:r>
      <w:r>
        <w:rPr>
          <w:rFonts w:ascii="Times New Roman" w:hAnsi="Times New Roman"/>
          <w:b w:val="false"/>
          <w:i w:val="false"/>
          <w:color w:val="000000"/>
          <w:sz w:val="24"/>
        </w:rPr>
        <w:t xml:space="preserve"> and has filed with the commission a written notice of intervention, or a person granted permission to intervene by the commission after filing a petition pursuant to rule </w:t>
      </w:r>
      <w:hyperlink r:id="rId55">
        <w:r>
          <w:rPr>
            <w:rStyle w:val="Hyperlink"/>
            <w:rFonts w:ascii="Times New Roman" w:hAnsi="Times New Roman"/>
            <w:b w:val="false"/>
            <w:i w:val="false"/>
            <w:strike/>
            <w:color w:val="000000"/>
            <w:sz w:val="24"/>
          </w:rPr>
          <w:t>199—7.13</w:t>
        </w:r>
      </w:hyperlink>
      <w:r>
        <w:rPr>
          <w:rFonts w:ascii="Times New Roman" w:hAnsi="Times New Roman"/>
          <w:b w:val="false"/>
          <w:i w:val="false"/>
          <w:strike/>
          <w:color w:val="000000"/>
          <w:sz w:val="24"/>
        </w:rPr>
        <w:t>(17A,476)</w:t>
      </w:r>
      <w:r>
        <w:rPr>
          <w:rFonts w:ascii="Times New Roman" w:hAnsi="Times New Roman"/>
          <w:b w:val="false"/>
          <w:i w:val="false"/>
          <w:color w:val="000000"/>
          <w:sz w:val="24"/>
          <w:u w:val="single"/>
        </w:rPr>
        <w:t> </w:t>
      </w:r>
      <w:hyperlink r:id="rId56">
        <w:r>
          <w:rPr>
            <w:rStyle w:val="Hyperlink"/>
            <w:rFonts w:ascii="Times New Roman" w:hAnsi="Times New Roman"/>
            <w:b w:val="false"/>
            <w:i w:val="false"/>
            <w:color w:val="000000"/>
            <w:sz w:val="24"/>
            <w:u w:val="single"/>
          </w:rPr>
          <w:t>199—2506.13</w:t>
        </w:r>
      </w:hyperlink>
      <w:r>
        <w:rPr>
          <w:rFonts w:ascii="Times New Roman" w:hAnsi="Times New Roman"/>
          <w:b w:val="false"/>
          <w:i w:val="false"/>
          <w:color w:val="000000"/>
          <w:sz w:val="24"/>
          <w:u w:val="single"/>
        </w:rPr>
        <w:t>(17A,476)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24.6(1)“b”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Provision for the publication of notice of the schedule for the hearing held by the commission in the form provided in Iowa Code section </w:t>
      </w:r>
      <w:hyperlink r:id="rId57">
        <w:r>
          <w:rPr>
            <w:rStyle w:val="Hyperlink"/>
            <w:rFonts w:ascii="Times New Roman" w:hAnsi="Times New Roman"/>
            <w:b w:val="false"/>
            <w:i w:val="false"/>
            <w:color w:val="000000"/>
            <w:sz w:val="24"/>
          </w:rPr>
          <w:t>17A.12(2)</w:t>
        </w:r>
      </w:hyperlink>
      <w:r>
        <w:rPr>
          <w:rFonts w:ascii="Times New Roman" w:hAnsi="Times New Roman"/>
          <w:b w:val="false"/>
          <w:i w:val="false"/>
          <w:color w:val="000000"/>
          <w:sz w:val="24"/>
        </w:rPr>
        <w:t xml:space="preserve">, which notice shall be published </w:t>
      </w:r>
      <w:r>
        <w:rPr>
          <w:rFonts w:ascii="Times New Roman" w:hAnsi="Times New Roman"/>
          <w:b w:val="false"/>
          <w:i w:val="false"/>
          <w:strike/>
          <w:color w:val="000000"/>
          <w:sz w:val="24"/>
        </w:rPr>
        <w:t>in a newspaper of general circulation in each county in which the proposed site is located once each week for two consecutive weeks with the second publication being no later than 30 days after acceptance of the application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 required by Iowa Code section </w:t>
      </w:r>
      <w:hyperlink r:id="rId58">
        <w:r>
          <w:rPr>
            <w:rStyle w:val="Hyperlink"/>
            <w:rFonts w:ascii="Times New Roman" w:hAnsi="Times New Roman"/>
            <w:b w:val="false"/>
            <w:i w:val="false"/>
            <w:color w:val="000000"/>
            <w:sz w:val="24"/>
            <w:u w:val="single"/>
          </w:rPr>
          <w:t>476A.6</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199—24.8(476A)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199—24.8</w:t>
      </w:r>
      <w:r>
        <w:rPr>
          <w:rFonts w:ascii="Times New Roman" w:hAnsi="Times New Roman"/>
          <w:b/>
          <w:i w:val="false"/>
          <w:color w:val="000000"/>
          <w:sz w:val="24"/>
        </w:rPr>
        <w:t xml:space="preserve">(476A) </w:t>
      </w:r>
      <w:r>
        <w:rPr>
          <w:rFonts w:ascii="Times New Roman" w:hAnsi="Times New Roman"/>
          <w:b/>
          <w:i w:val="false"/>
          <w:color w:val="000000"/>
          <w:sz w:val="24"/>
        </w:rPr>
        <w:t xml:space="preserve">Hearing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24.8(1)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The proceedings conducted by the commission pursuant to this chapter shall be treated in the same manner as a contested case pursuant to the provisions of Iowa Code chapter </w:t>
      </w:r>
      <w:hyperlink r:id="rId59">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Except where contrary to express provisions below, the hearing procedure shall conform to the commission’s rules of practice and procedure, </w:t>
      </w:r>
      <w:hyperlink r:id="rId60">
        <w:r>
          <w:rPr>
            <w:rStyle w:val="Hyperlink"/>
            <w:rFonts w:ascii="Times New Roman" w:hAnsi="Times New Roman"/>
            <w:b w:val="false"/>
            <w:i w:val="false"/>
            <w:strike/>
            <w:color w:val="000000"/>
            <w:sz w:val="24"/>
          </w:rPr>
          <w:t>199—Chapter 7</w:t>
        </w:r>
      </w:hyperlink>
      <w:r>
        <w:rPr>
          <w:rFonts w:ascii="Times New Roman" w:hAnsi="Times New Roman"/>
          <w:b w:val="false"/>
          <w:i w:val="false"/>
          <w:color w:val="000000"/>
          <w:sz w:val="24"/>
          <w:u w:val="single"/>
        </w:rPr>
        <w:t> </w:t>
      </w:r>
      <w:hyperlink r:id="rId61">
        <w:r>
          <w:rPr>
            <w:rStyle w:val="Hyperlink"/>
            <w:rFonts w:ascii="Times New Roman" w:hAnsi="Times New Roman"/>
            <w:b w:val="false"/>
            <w:i w:val="false"/>
            <w:color w:val="000000"/>
            <w:sz w:val="24"/>
            <w:u w:val="single"/>
          </w:rPr>
          <w:t>199—Chapter 2506</w:t>
        </w:r>
      </w:hyperlink>
      <w:r>
        <w:rPr>
          <w:rFonts w:ascii="Times New Roman" w:hAnsi="Times New Roman"/>
          <w:b w:val="false"/>
          <w:i w:val="false"/>
          <w:color w:val="000000"/>
          <w:sz w:val="24"/>
        </w:rPr>
        <w:t xml:space="preserve">. The proceeding for the issuance of certificate may be consolidated with the contested case proceeding for determination of applicable ratemaking principles under Iowa Code section </w:t>
      </w:r>
      <w:hyperlink r:id="rId62">
        <w:r>
          <w:rPr>
            <w:rStyle w:val="Hyperlink"/>
            <w:rFonts w:ascii="Times New Roman" w:hAnsi="Times New Roman"/>
            <w:b w:val="false"/>
            <w:i w:val="false"/>
            <w:color w:val="000000"/>
            <w:sz w:val="24"/>
          </w:rPr>
          <w:t>476.53</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24.8(2)</w:t>
      </w:r>
      <w:r>
        <w:rPr>
          <w:rFonts w:ascii="Times New Roman" w:hAnsi="Times New Roman"/>
          <w:b w:val="false"/>
          <w:i w:val="false"/>
          <w:color w:val="000000"/>
          <w:sz w:val="24"/>
        </w:rPr>
        <w:t> </w:t>
      </w:r>
      <w:r>
        <w:rPr>
          <w:rFonts w:ascii="Times New Roman" w:hAnsi="Times New Roman"/>
          <w:b w:val="false"/>
          <w:i/>
          <w:color w:val="000000"/>
          <w:sz w:val="24"/>
        </w:rPr>
        <w:t xml:space="preserve">Intervention.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Petition to intervene. </w:t>
      </w:r>
      <w:r>
        <w:rPr>
          <w:rFonts w:ascii="Times New Roman" w:hAnsi="Times New Roman"/>
          <w:b w:val="false"/>
          <w:i w:val="false"/>
          <w:color w:val="000000"/>
          <w:sz w:val="24"/>
        </w:rPr>
        <w:t xml:space="preserve">Any other person wishing to become a party to the contested case proceeding may request to intervene in the proceeding by filing a petition to intervene pursuant to rule </w:t>
      </w:r>
      <w:hyperlink r:id="rId63">
        <w:r>
          <w:rPr>
            <w:rStyle w:val="Hyperlink"/>
            <w:rFonts w:ascii="Times New Roman" w:hAnsi="Times New Roman"/>
            <w:b w:val="false"/>
            <w:i w:val="false"/>
            <w:strike/>
            <w:color w:val="000000"/>
            <w:sz w:val="24"/>
          </w:rPr>
          <w:t>199—7.13</w:t>
        </w:r>
      </w:hyperlink>
      <w:r>
        <w:rPr>
          <w:rFonts w:ascii="Times New Roman" w:hAnsi="Times New Roman"/>
          <w:b w:val="false"/>
          <w:i w:val="false"/>
          <w:strike/>
          <w:color w:val="000000"/>
          <w:sz w:val="24"/>
        </w:rPr>
        <w:t>(17A,476)</w:t>
      </w:r>
      <w:r>
        <w:rPr>
          <w:rFonts w:ascii="Times New Roman" w:hAnsi="Times New Roman"/>
          <w:b w:val="false"/>
          <w:i w:val="false"/>
          <w:color w:val="000000"/>
          <w:sz w:val="24"/>
          <w:u w:val="single"/>
        </w:rPr>
        <w:t> </w:t>
      </w:r>
      <w:hyperlink r:id="rId64">
        <w:r>
          <w:rPr>
            <w:rStyle w:val="Hyperlink"/>
            <w:rFonts w:ascii="Times New Roman" w:hAnsi="Times New Roman"/>
            <w:b w:val="false"/>
            <w:i w:val="false"/>
            <w:color w:val="000000"/>
            <w:sz w:val="24"/>
            <w:u w:val="single"/>
          </w:rPr>
          <w:t>199—2506.13</w:t>
        </w:r>
      </w:hyperlink>
      <w:r>
        <w:rPr>
          <w:rFonts w:ascii="Times New Roman" w:hAnsi="Times New Roman"/>
          <w:b w:val="false"/>
          <w:i w:val="false"/>
          <w:color w:val="000000"/>
          <w:sz w:val="24"/>
          <w:u w:val="single"/>
        </w:rPr>
        <w:t>(17A,476)</w:t>
      </w:r>
      <w:r>
        <w:rPr>
          <w:rFonts w:ascii="Times New Roman" w:hAnsi="Times New Roman"/>
          <w:b w:val="false"/>
          <w:i w:val="false"/>
          <w:color w:val="000000"/>
          <w:sz w:val="24"/>
        </w:rPr>
        <w:t xml:space="preserve"> by the deadline set in the procedural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Commission discretion. </w:t>
      </w:r>
      <w:r>
        <w:rPr>
          <w:rFonts w:ascii="Times New Roman" w:hAnsi="Times New Roman"/>
          <w:b w:val="false"/>
          <w:i w:val="false"/>
          <w:color w:val="000000"/>
          <w:sz w:val="24"/>
        </w:rPr>
        <w:t xml:space="preserve">The commission may, in its discretion, grant or deny such petition in accordance with rule </w:t>
      </w:r>
      <w:hyperlink r:id="rId65">
        <w:r>
          <w:rPr>
            <w:rStyle w:val="Hyperlink"/>
            <w:rFonts w:ascii="Times New Roman" w:hAnsi="Times New Roman"/>
            <w:b w:val="false"/>
            <w:i w:val="false"/>
            <w:strike/>
            <w:color w:val="000000"/>
            <w:sz w:val="24"/>
          </w:rPr>
          <w:t>199—7.13</w:t>
        </w:r>
      </w:hyperlink>
      <w:r>
        <w:rPr>
          <w:rFonts w:ascii="Times New Roman" w:hAnsi="Times New Roman"/>
          <w:b w:val="false"/>
          <w:i w:val="false"/>
          <w:strike/>
          <w:color w:val="000000"/>
          <w:sz w:val="24"/>
        </w:rPr>
        <w:t>(17A,476)</w:t>
      </w:r>
      <w:r>
        <w:rPr>
          <w:rFonts w:ascii="Times New Roman" w:hAnsi="Times New Roman"/>
          <w:b w:val="false"/>
          <w:i w:val="false"/>
          <w:color w:val="000000"/>
          <w:sz w:val="24"/>
          <w:u w:val="single"/>
        </w:rPr>
        <w:t> </w:t>
      </w:r>
      <w:hyperlink r:id="rId66">
        <w:r>
          <w:rPr>
            <w:rStyle w:val="Hyperlink"/>
            <w:rFonts w:ascii="Times New Roman" w:hAnsi="Times New Roman"/>
            <w:b w:val="false"/>
            <w:i w:val="false"/>
            <w:color w:val="000000"/>
            <w:sz w:val="24"/>
            <w:u w:val="single"/>
          </w:rPr>
          <w:t>199—2506.13</w:t>
        </w:r>
      </w:hyperlink>
      <w:r>
        <w:rPr>
          <w:rFonts w:ascii="Times New Roman" w:hAnsi="Times New Roman"/>
          <w:b w:val="false"/>
          <w:i w:val="false"/>
          <w:color w:val="000000"/>
          <w:sz w:val="24"/>
          <w:u w:val="single"/>
        </w:rPr>
        <w:t>(17A,476)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24.8(3)</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24.8(4)</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rehearing. </w:t>
      </w:r>
      <w:r>
        <w:rPr>
          <w:rFonts w:ascii="Times New Roman" w:hAnsi="Times New Roman"/>
          <w:b w:val="false"/>
          <w:i w:val="false"/>
          <w:color w:val="000000"/>
          <w:sz w:val="24"/>
        </w:rPr>
        <w:t xml:space="preserve">All applications for rehearing will be made and processed in accordance with Iowa Code sections </w:t>
      </w:r>
      <w:hyperlink r:id="rId67">
        <w:r>
          <w:rPr>
            <w:rStyle w:val="Hyperlink"/>
            <w:rFonts w:ascii="Times New Roman" w:hAnsi="Times New Roman"/>
            <w:b w:val="false"/>
            <w:i w:val="false"/>
            <w:color w:val="000000"/>
            <w:sz w:val="24"/>
          </w:rPr>
          <w:t>17A.16(2)</w:t>
        </w:r>
      </w:hyperlink>
      <w:r>
        <w:rPr>
          <w:rFonts w:ascii="Times New Roman" w:hAnsi="Times New Roman"/>
          <w:b w:val="false"/>
          <w:i w:val="false"/>
          <w:color w:val="000000"/>
          <w:sz w:val="24"/>
        </w:rPr>
        <w:t xml:space="preserve"> and </w:t>
      </w:r>
      <w:hyperlink r:id="rId68">
        <w:r>
          <w:rPr>
            <w:rStyle w:val="Hyperlink"/>
            <w:rFonts w:ascii="Times New Roman" w:hAnsi="Times New Roman"/>
            <w:b w:val="false"/>
            <w:i w:val="false"/>
            <w:color w:val="000000"/>
            <w:sz w:val="24"/>
          </w:rPr>
          <w:t>476.12</w:t>
        </w:r>
      </w:hyperlink>
      <w:r>
        <w:rPr>
          <w:rFonts w:ascii="Times New Roman" w:hAnsi="Times New Roman"/>
          <w:b w:val="false"/>
          <w:i w:val="false"/>
          <w:color w:val="000000"/>
          <w:sz w:val="24"/>
        </w:rPr>
        <w:t xml:space="preserve"> and rule </w:t>
      </w:r>
      <w:hyperlink r:id="rId69">
        <w:r>
          <w:rPr>
            <w:rStyle w:val="Hyperlink"/>
            <w:rFonts w:ascii="Times New Roman" w:hAnsi="Times New Roman"/>
            <w:b w:val="false"/>
            <w:i w:val="false"/>
            <w:strike/>
            <w:color w:val="000000"/>
            <w:sz w:val="24"/>
          </w:rPr>
          <w:t>199—7.27</w:t>
        </w:r>
      </w:hyperlink>
      <w:r>
        <w:rPr>
          <w:rFonts w:ascii="Times New Roman" w:hAnsi="Times New Roman"/>
          <w:b w:val="false"/>
          <w:i w:val="false"/>
          <w:strike/>
          <w:color w:val="000000"/>
          <w:sz w:val="24"/>
        </w:rPr>
        <w:t>(17A,476)</w:t>
      </w:r>
      <w:r>
        <w:rPr>
          <w:rFonts w:ascii="Times New Roman" w:hAnsi="Times New Roman"/>
          <w:b w:val="false"/>
          <w:i w:val="false"/>
          <w:color w:val="000000"/>
          <w:sz w:val="24"/>
          <w:u w:val="single"/>
        </w:rPr>
        <w:t> </w:t>
      </w:r>
      <w:hyperlink r:id="rId70">
        <w:r>
          <w:rPr>
            <w:rStyle w:val="Hyperlink"/>
            <w:rFonts w:ascii="Times New Roman" w:hAnsi="Times New Roman"/>
            <w:b w:val="false"/>
            <w:i w:val="false"/>
            <w:color w:val="000000"/>
            <w:sz w:val="24"/>
            <w:u w:val="single"/>
          </w:rPr>
          <w:t>199—2506.27</w:t>
        </w:r>
      </w:hyperlink>
      <w:r>
        <w:rPr>
          <w:rFonts w:ascii="Times New Roman" w:hAnsi="Times New Roman"/>
          <w:b w:val="false"/>
          <w:i w:val="false"/>
          <w:color w:val="000000"/>
          <w:sz w:val="24"/>
          <w:u w:val="single"/>
        </w:rPr>
        <w:t>(17A,476)</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24.10(4)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24.10(4)</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 xml:space="preserve">In the event the applicant fails to amend in a timely fashion, or after amendment or reopening the record, or both, the commission remains unable to make an affirmative finding, the commission will deny the application. The applicant may request rehearing on such denial in accordance with Iowa Code sections </w:t>
      </w:r>
      <w:hyperlink r:id="rId71">
        <w:r>
          <w:rPr>
            <w:rStyle w:val="Hyperlink"/>
            <w:rFonts w:ascii="Times New Roman" w:hAnsi="Times New Roman"/>
            <w:b w:val="false"/>
            <w:i w:val="false"/>
            <w:color w:val="000000"/>
            <w:sz w:val="24"/>
          </w:rPr>
          <w:t>17A.16(2)</w:t>
        </w:r>
      </w:hyperlink>
      <w:r>
        <w:rPr>
          <w:rFonts w:ascii="Times New Roman" w:hAnsi="Times New Roman"/>
          <w:b w:val="false"/>
          <w:i w:val="false"/>
          <w:color w:val="000000"/>
          <w:sz w:val="24"/>
        </w:rPr>
        <w:t xml:space="preserve"> and </w:t>
      </w:r>
      <w:hyperlink r:id="rId72">
        <w:r>
          <w:rPr>
            <w:rStyle w:val="Hyperlink"/>
            <w:rFonts w:ascii="Times New Roman" w:hAnsi="Times New Roman"/>
            <w:b w:val="false"/>
            <w:i w:val="false"/>
            <w:color w:val="000000"/>
            <w:sz w:val="24"/>
          </w:rPr>
          <w:t>476.12</w:t>
        </w:r>
      </w:hyperlink>
      <w:r>
        <w:rPr>
          <w:rFonts w:ascii="Times New Roman" w:hAnsi="Times New Roman"/>
          <w:b w:val="false"/>
          <w:i w:val="false"/>
          <w:color w:val="000000"/>
          <w:sz w:val="24"/>
        </w:rPr>
        <w:t xml:space="preserve"> and rule </w:t>
      </w:r>
      <w:hyperlink r:id="rId73">
        <w:r>
          <w:rPr>
            <w:rStyle w:val="Hyperlink"/>
            <w:rFonts w:ascii="Times New Roman" w:hAnsi="Times New Roman"/>
            <w:b w:val="false"/>
            <w:i w:val="false"/>
            <w:strike/>
            <w:color w:val="000000"/>
            <w:sz w:val="24"/>
          </w:rPr>
          <w:t>199—7.27</w:t>
        </w:r>
      </w:hyperlink>
      <w:r>
        <w:rPr>
          <w:rFonts w:ascii="Times New Roman" w:hAnsi="Times New Roman"/>
          <w:b w:val="false"/>
          <w:i w:val="false"/>
          <w:strike/>
          <w:color w:val="000000"/>
          <w:sz w:val="24"/>
        </w:rPr>
        <w:t>(17A,476)</w:t>
      </w:r>
      <w:r>
        <w:rPr>
          <w:rFonts w:ascii="Times New Roman" w:hAnsi="Times New Roman"/>
          <w:b w:val="false"/>
          <w:i w:val="false"/>
          <w:color w:val="000000"/>
          <w:sz w:val="24"/>
          <w:u w:val="single"/>
        </w:rPr>
        <w:t> </w:t>
      </w:r>
      <w:hyperlink r:id="rId74">
        <w:r>
          <w:rPr>
            <w:rStyle w:val="Hyperlink"/>
            <w:rFonts w:ascii="Times New Roman" w:hAnsi="Times New Roman"/>
            <w:b w:val="false"/>
            <w:i w:val="false"/>
            <w:color w:val="000000"/>
            <w:sz w:val="24"/>
            <w:u w:val="single"/>
          </w:rPr>
          <w:t>199—2506.27</w:t>
        </w:r>
      </w:hyperlink>
      <w:r>
        <w:rPr>
          <w:rFonts w:ascii="Times New Roman" w:hAnsi="Times New Roman"/>
          <w:b w:val="false"/>
          <w:i w:val="false"/>
          <w:color w:val="000000"/>
          <w:sz w:val="24"/>
          <w:u w:val="single"/>
        </w:rPr>
        <w:t>(17A,476)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24.14(2)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24.14(2)</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any other service requirements, an applicant requesting a waiver must serve a copy of the waiver on all owners </w:t>
      </w:r>
      <w:r>
        <w:rPr>
          <w:rFonts w:ascii="Times New Roman" w:hAnsi="Times New Roman"/>
          <w:b w:val="false"/>
          <w:i w:val="false"/>
          <w:strike/>
          <w:color w:val="000000"/>
          <w:sz w:val="24"/>
        </w:rPr>
        <w: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of</w:t>
      </w:r>
      <w:r>
        <w:rPr>
          <w:rFonts w:ascii="Times New Roman" w:hAnsi="Times New Roman"/>
          <w:b w:val="false"/>
          <w:i w:val="false"/>
          <w:color w:val="000000"/>
          <w:sz w:val="24"/>
        </w:rPr>
        <w:t xml:space="preserve"> record of real property that adjoins the proposed facility site.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25.2(2)“b”(4)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for clearances near grain bins, for measurements made under field conditions, the commission will consider compliance with the overhead vertical line clearance requirements of Subsection 232 and Table 232-1 of the 1987 NESC indicative of compliance with the 1990 through </w:t>
      </w:r>
      <w:r>
        <w:rPr>
          <w:rFonts w:ascii="Times New Roman" w:hAnsi="Times New Roman"/>
          <w:b w:val="false"/>
          <w:i w:val="false"/>
          <w:strike/>
          <w:color w:val="000000"/>
          <w:sz w:val="24"/>
        </w:rPr>
        <w:t>2017</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2023</w:t>
      </w:r>
      <w:r>
        <w:rPr>
          <w:rFonts w:ascii="Times New Roman" w:hAnsi="Times New Roman"/>
          <w:b w:val="false"/>
          <w:i w:val="false"/>
          <w:color w:val="000000"/>
          <w:sz w:val="24"/>
        </w:rPr>
        <w:t xml:space="preserve"> editions of the NESC. (For an explanation of the differences between 1987 and subsequent code edition clearances, see Appendix A of the 1990 through </w:t>
      </w:r>
      <w:r>
        <w:rPr>
          <w:rFonts w:ascii="Times New Roman" w:hAnsi="Times New Roman"/>
          <w:b w:val="false"/>
          <w:i w:val="false"/>
          <w:strike/>
          <w:color w:val="000000"/>
          <w:sz w:val="24"/>
        </w:rPr>
        <w:t>2017</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2023</w:t>
      </w:r>
      <w:r>
        <w:rPr>
          <w:rFonts w:ascii="Times New Roman" w:hAnsi="Times New Roman"/>
          <w:b w:val="false"/>
          <w:i w:val="false"/>
          <w:color w:val="000000"/>
          <w:sz w:val="24"/>
        </w:rPr>
        <w:t xml:space="preserve"> editions of the NESC.)</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26.1(1)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26.1(1)</w:t>
      </w:r>
      <w:r>
        <w:rPr>
          <w:rFonts w:ascii="Times New Roman" w:hAnsi="Times New Roman"/>
          <w:b w:val="false"/>
          <w:i w:val="false"/>
          <w:color w:val="000000"/>
          <w:sz w:val="24"/>
        </w:rPr>
        <w:t> </w:t>
      </w:r>
      <w:r>
        <w:rPr>
          <w:rFonts w:ascii="Times New Roman" w:hAnsi="Times New Roman"/>
          <w:b w:val="false"/>
          <w:i w:val="false"/>
          <w:color w:val="000000"/>
          <w:sz w:val="24"/>
        </w:rPr>
        <w:t xml:space="preserve">This chapter contains utilities commission procedural rules and filing requirements for utility rate cases, other rate tariff filings, and rate regulation election of electric cooperatives. The general contested case procedural rules in </w:t>
      </w:r>
      <w:hyperlink r:id="rId75">
        <w:r>
          <w:rPr>
            <w:rStyle w:val="Hyperlink"/>
            <w:rFonts w:ascii="Times New Roman" w:hAnsi="Times New Roman"/>
            <w:b w:val="false"/>
            <w:i w:val="false"/>
            <w:strike/>
            <w:color w:val="000000"/>
            <w:sz w:val="24"/>
          </w:rPr>
          <w:t>199—Chapter 7</w:t>
        </w:r>
      </w:hyperlink>
      <w:r>
        <w:rPr>
          <w:rFonts w:ascii="Times New Roman" w:hAnsi="Times New Roman"/>
          <w:b w:val="false"/>
          <w:i w:val="false"/>
          <w:color w:val="000000"/>
          <w:sz w:val="24"/>
          <w:u w:val="single"/>
        </w:rPr>
        <w:t> </w:t>
      </w:r>
      <w:hyperlink r:id="rId76">
        <w:r>
          <w:rPr>
            <w:rStyle w:val="Hyperlink"/>
            <w:rFonts w:ascii="Times New Roman" w:hAnsi="Times New Roman"/>
            <w:b w:val="false"/>
            <w:i w:val="false"/>
            <w:color w:val="000000"/>
            <w:sz w:val="24"/>
            <w:u w:val="single"/>
          </w:rPr>
          <w:t>199—Chapter 2506</w:t>
        </w:r>
      </w:hyperlink>
      <w:r>
        <w:rPr>
          <w:rFonts w:ascii="Times New Roman" w:hAnsi="Times New Roman"/>
          <w:b w:val="false"/>
          <w:i w:val="false"/>
          <w:color w:val="000000"/>
          <w:sz w:val="24"/>
        </w:rPr>
        <w:t xml:space="preserve"> apply to these types of proceedings where the rules in this chapter do not provide specific guidance.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26.3(1)“b”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Proposed new or changed rates, charges, schedules, or regulations that contain energy efficiency expenditures and related costs for demand-side programs shall not be included in a utility’s proposed tariff that relates to a general increase in revenue. A utility may propose to recover the costs of process-oriented industrial assessments not related to energy efficiency as defined in </w:t>
      </w:r>
      <w:r>
        <w:rPr>
          <w:rFonts w:ascii="Times New Roman" w:hAnsi="Times New Roman"/>
          <w:b w:val="false"/>
          <w:i w:val="false"/>
          <w:strike/>
          <w:color w:val="000000"/>
          <w:sz w:val="24"/>
        </w:rPr>
        <w:t xml:space="preserve">the definitions rule of </w:t>
      </w:r>
      <w:hyperlink r:id="rId77">
        <w:r>
          <w:rPr>
            <w:rStyle w:val="Hyperlink"/>
            <w:rFonts w:ascii="Times New Roman" w:hAnsi="Times New Roman"/>
            <w:b w:val="false"/>
            <w:i w:val="false"/>
            <w:strike/>
            <w:color w:val="000000"/>
            <w:sz w:val="24"/>
          </w:rPr>
          <w:t>199—Chapter 35</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rule </w:t>
      </w:r>
      <w:hyperlink r:id="rId78">
        <w:r>
          <w:rPr>
            <w:rStyle w:val="Hyperlink"/>
            <w:rFonts w:ascii="Times New Roman" w:hAnsi="Times New Roman"/>
            <w:b w:val="false"/>
            <w:i w:val="false"/>
            <w:color w:val="000000"/>
            <w:sz w:val="24"/>
            <w:u w:val="single"/>
          </w:rPr>
          <w:t>199—35.2</w:t>
        </w:r>
      </w:hyperlink>
      <w:r>
        <w:rPr>
          <w:rFonts w:ascii="Times New Roman" w:hAnsi="Times New Roman"/>
          <w:b w:val="false"/>
          <w:i w:val="false"/>
          <w:color w:val="000000"/>
          <w:sz w:val="24"/>
          <w:u w:val="single"/>
        </w:rPr>
        <w:t>(476)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26.4(1)“a”(4)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requirements in this paragraph are not applicable to rate increases for telecommunications services. Notice requirements for intrastate access service rates are subject to the requirements of </w:t>
      </w:r>
      <w:r>
        <w:rPr>
          <w:rFonts w:ascii="Times New Roman" w:hAnsi="Times New Roman"/>
          <w:b w:val="false"/>
          <w:i w:val="false"/>
          <w:strike/>
          <w:color w:val="000000"/>
          <w:sz w:val="24"/>
        </w:rPr>
        <w:t xml:space="preserve">the “intrastate access charge application, tariff procedures, and rates” rule of </w:t>
      </w:r>
      <w:hyperlink r:id="rId79">
        <w:r>
          <w:rPr>
            <w:rStyle w:val="Hyperlink"/>
            <w:rFonts w:ascii="Times New Roman" w:hAnsi="Times New Roman"/>
            <w:b w:val="false"/>
            <w:i w:val="false"/>
            <w:strike/>
            <w:color w:val="000000"/>
            <w:sz w:val="24"/>
          </w:rPr>
          <w:t>199—Chapter 22</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rule </w:t>
      </w:r>
      <w:hyperlink r:id="rId80">
        <w:r>
          <w:rPr>
            <w:rStyle w:val="Hyperlink"/>
            <w:rFonts w:ascii="Times New Roman" w:hAnsi="Times New Roman"/>
            <w:b w:val="false"/>
            <w:i w:val="false"/>
            <w:color w:val="000000"/>
            <w:sz w:val="24"/>
            <w:u w:val="single"/>
          </w:rPr>
          <w:t>199—22.4</w:t>
        </w:r>
      </w:hyperlink>
      <w:r>
        <w:rPr>
          <w:rFonts w:ascii="Times New Roman" w:hAnsi="Times New Roman"/>
          <w:b w:val="false"/>
          <w:i w:val="false"/>
          <w:color w:val="000000"/>
          <w:sz w:val="24"/>
          <w:u w:val="single"/>
        </w:rPr>
        <w:t>(476)</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26.4(1)“b”(2)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a minimum, a nonstandard customer notice shall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utility is proposing to place </w:t>
      </w:r>
      <w:r>
        <w:rPr>
          <w:rFonts w:ascii="Times New Roman" w:hAnsi="Times New Roman"/>
          <w:b w:val="false"/>
          <w:i w:val="false"/>
          <w:strike/>
          <w:color w:val="000000"/>
          <w:sz w:val="24"/>
        </w:rPr>
        <w:t>interim</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temporary</w:t>
      </w:r>
      <w:r>
        <w:rPr>
          <w:rFonts w:ascii="Times New Roman" w:hAnsi="Times New Roman"/>
          <w:b w:val="false"/>
          <w:i w:val="false"/>
          <w:color w:val="000000"/>
          <w:sz w:val="24"/>
        </w:rPr>
        <w:t xml:space="preserve"> rates in effect, an explanation of the </w:t>
      </w:r>
      <w:r>
        <w:rPr>
          <w:rFonts w:ascii="Times New Roman" w:hAnsi="Times New Roman"/>
          <w:b w:val="false"/>
          <w:i w:val="false"/>
          <w:strike/>
          <w:color w:val="000000"/>
          <w:sz w:val="24"/>
        </w:rPr>
        <w:t>interim</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temporary</w:t>
      </w:r>
      <w:r>
        <w:rPr>
          <w:rFonts w:ascii="Times New Roman" w:hAnsi="Times New Roman"/>
          <w:b w:val="false"/>
          <w:i w:val="false"/>
          <w:color w:val="000000"/>
          <w:sz w:val="24"/>
        </w:rPr>
        <w:t xml:space="preserve"> rate process applicable to the proceeding and, with respect to such proposed </w:t>
      </w:r>
      <w:r>
        <w:rPr>
          <w:rFonts w:ascii="Times New Roman" w:hAnsi="Times New Roman"/>
          <w:b w:val="false"/>
          <w:i w:val="false"/>
          <w:strike/>
          <w:color w:val="000000"/>
          <w:sz w:val="24"/>
        </w:rPr>
        <w:t>interim</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temporary</w:t>
      </w:r>
      <w:r>
        <w:rPr>
          <w:rFonts w:ascii="Times New Roman" w:hAnsi="Times New Roman"/>
          <w:b w:val="false"/>
          <w:i w:val="false"/>
          <w:color w:val="000000"/>
          <w:sz w:val="24"/>
        </w:rPr>
        <w:t xml:space="preserve"> rates, all of the information that this subrule requires a utility to submit concerning final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A statement indicating that, after a thorough investigation, the commission will make a determination on final rates, which may be different from those that the utility proposes, and that, if final rates are lower than </w:t>
      </w:r>
      <w:r>
        <w:rPr>
          <w:rFonts w:ascii="Times New Roman" w:hAnsi="Times New Roman"/>
          <w:b w:val="false"/>
          <w:i w:val="false"/>
          <w:strike/>
          <w:color w:val="000000"/>
          <w:sz w:val="24"/>
        </w:rPr>
        <w:t>interim</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temporary</w:t>
      </w:r>
      <w:r>
        <w:rPr>
          <w:rFonts w:ascii="Times New Roman" w:hAnsi="Times New Roman"/>
          <w:b w:val="false"/>
          <w:i w:val="false"/>
          <w:color w:val="000000"/>
          <w:sz w:val="24"/>
        </w:rPr>
        <w:t xml:space="preserve"> rates or the </w:t>
      </w:r>
      <w:r>
        <w:rPr>
          <w:rFonts w:ascii="Times New Roman" w:hAnsi="Times New Roman"/>
          <w:b w:val="false"/>
          <w:i w:val="false"/>
          <w:strike/>
          <w:color w:val="000000"/>
          <w:sz w:val="24"/>
        </w:rPr>
        <w:t>interim</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temporary</w:t>
      </w:r>
      <w:r>
        <w:rPr>
          <w:rFonts w:ascii="Times New Roman" w:hAnsi="Times New Roman"/>
          <w:b w:val="false"/>
          <w:i w:val="false"/>
          <w:color w:val="000000"/>
          <w:sz w:val="24"/>
        </w:rPr>
        <w:t xml:space="preserve"> rates are not based upon previously established regulatory principles, the utility shall make refunds, including interest, to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26.4(4)“d”(23)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(23)</w:t>
      </w:r>
      <w:r>
        <w:rPr>
          <w:rFonts w:ascii="Times New Roman" w:hAnsi="Times New Roman"/>
          <w:b w:val="false"/>
          <w:i w:val="false"/>
          <w:color w:val="000000"/>
          <w:sz w:val="24"/>
        </w:rPr>
        <w:t>  </w:t>
      </w:r>
      <w:r>
        <w:rPr>
          <w:rFonts w:ascii="Times New Roman" w:hAnsi="Times New Roman"/>
          <w:b w:val="false"/>
          <w:i w:val="false"/>
          <w:color w:val="000000"/>
          <w:sz w:val="24"/>
        </w:rPr>
        <w:t>All testimony and exhibits in support of the rate filing, attached to affidavits of the sponsoring witnesses. All known and measurable changes in costs and revenues upon which the utility relies in its application shall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otherwise required, all testimony, exhibits, and other information shall be filed in the commission’s electronic filing system as described in </w:t>
      </w:r>
      <w:r>
        <w:rPr>
          <w:rFonts w:ascii="Times New Roman" w:hAnsi="Times New Roman"/>
          <w:b w:val="false"/>
          <w:i w:val="false"/>
          <w:strike/>
          <w:color w:val="000000"/>
          <w:sz w:val="24"/>
        </w:rPr>
        <w:t xml:space="preserve">the “Electronic filing procedures and required formats” rule of </w:t>
      </w:r>
      <w:hyperlink r:id="rId81">
        <w:r>
          <w:rPr>
            <w:rStyle w:val="Hyperlink"/>
            <w:rFonts w:ascii="Times New Roman" w:hAnsi="Times New Roman"/>
            <w:b w:val="false"/>
            <w:i w:val="false"/>
            <w:strike/>
            <w:color w:val="000000"/>
            <w:sz w:val="24"/>
          </w:rPr>
          <w:t>199—Chapter 14</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rule </w:t>
      </w:r>
      <w:hyperlink r:id="rId82">
        <w:r>
          <w:rPr>
            <w:rStyle w:val="Hyperlink"/>
            <w:rFonts w:ascii="Times New Roman" w:hAnsi="Times New Roman"/>
            <w:b w:val="false"/>
            <w:i w:val="false"/>
            <w:color w:val="000000"/>
            <w:sz w:val="24"/>
            <w:u w:val="single"/>
          </w:rPr>
          <w:t>199—14.5</w:t>
        </w:r>
      </w:hyperlink>
      <w:r>
        <w:rPr>
          <w:rFonts w:ascii="Times New Roman" w:hAnsi="Times New Roman"/>
          <w:b w:val="false"/>
          <w:i w:val="false"/>
          <w:color w:val="000000"/>
          <w:sz w:val="24"/>
          <w:u w:val="single"/>
        </w:rPr>
        <w:t>(17A,476)</w:t>
      </w:r>
      <w:r>
        <w:rPr>
          <w:rFonts w:ascii="Times New Roman" w:hAnsi="Times New Roman"/>
          <w:b w:val="false"/>
          <w:i w:val="false"/>
          <w:color w:val="000000"/>
          <w:sz w:val="24"/>
        </w:rPr>
        <w:t>. In addition, three paper copies of any documents filed electronically in the commission’s electronic filing system, including confidential information, shall be provided to the commission and three copies to the consumer advocate within five days of the date the application is filed. The utility is not required to print voluminous workpapers that only provide supporting information as long as the utility has filed a summary of the information and the utility includes a page in the printed material that indicates the information in the workpapers that has not been printed and where that information is found in the application or minimum filing requirements. The commission or the consumer advocate may request a printed copy of this information if the information is required for review of the application or minimum filing requirements. The paper copies shall be certified by an officer of the utility or by an attorney representing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26.14(1)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26.14(1)</w:t>
      </w:r>
      <w:r>
        <w:rPr>
          <w:rFonts w:ascii="Times New Roman" w:hAnsi="Times New Roman"/>
          <w:b w:val="false"/>
          <w:i w:val="false"/>
          <w:color w:val="000000"/>
          <w:sz w:val="24"/>
        </w:rPr>
        <w:t> </w:t>
      </w:r>
      <w:r>
        <w:rPr>
          <w:rFonts w:ascii="Times New Roman" w:hAnsi="Times New Roman"/>
          <w:b w:val="false"/>
          <w:i w:val="false"/>
          <w:color w:val="000000"/>
          <w:sz w:val="24"/>
        </w:rPr>
        <w:t xml:space="preserve">Any utility filing an application with the commission requesting a determination of the reasonableness of its rates, charges, schedules, service, or regulations shall submit at the time the application is filed testimony and exhibits to fully support the utility’s filing. All such testimony and exhibits shall be given or presented by competent witnesses, under oath or affirmation, at the proceeding ordered by the commission as a result of the application, and the proceeding shall be governed by the applicable provisions of </w:t>
      </w:r>
      <w:hyperlink r:id="rId83">
        <w:r>
          <w:rPr>
            <w:rStyle w:val="Hyperlink"/>
            <w:rFonts w:ascii="Times New Roman" w:hAnsi="Times New Roman"/>
            <w:b w:val="false"/>
            <w:i w:val="false"/>
            <w:strike/>
            <w:color w:val="000000"/>
            <w:sz w:val="24"/>
          </w:rPr>
          <w:t>199—Chapter 7</w:t>
        </w:r>
      </w:hyperlink>
      <w:r>
        <w:rPr>
          <w:rFonts w:ascii="Times New Roman" w:hAnsi="Times New Roman"/>
          <w:b w:val="false"/>
          <w:i w:val="false"/>
          <w:color w:val="000000"/>
          <w:sz w:val="24"/>
          <w:u w:val="single"/>
        </w:rPr>
        <w:t> </w:t>
      </w:r>
      <w:hyperlink r:id="rId84">
        <w:r>
          <w:rPr>
            <w:rStyle w:val="Hyperlink"/>
            <w:rFonts w:ascii="Times New Roman" w:hAnsi="Times New Roman"/>
            <w:b w:val="false"/>
            <w:i w:val="false"/>
            <w:color w:val="000000"/>
            <w:sz w:val="24"/>
            <w:u w:val="single"/>
          </w:rPr>
          <w:t>199—Chapter 2506</w:t>
        </w:r>
      </w:hyperlink>
      <w:r>
        <w:rPr>
          <w:rFonts w:ascii="Times New Roman" w:hAnsi="Times New Roman"/>
          <w:b w:val="false"/>
          <w:i w:val="false"/>
          <w:color w:val="000000"/>
          <w:sz w:val="24"/>
        </w:rPr>
        <w:t xml:space="preserve"> and rule </w:t>
      </w:r>
      <w:hyperlink r:id="rId85">
        <w:r>
          <w:rPr>
            <w:rStyle w:val="Hyperlink"/>
            <w:rFonts w:ascii="Times New Roman" w:hAnsi="Times New Roman"/>
            <w:b w:val="false"/>
            <w:i w:val="false"/>
            <w:color w:val="000000"/>
            <w:sz w:val="24"/>
          </w:rPr>
          <w:t>199—26.4(17A,476)</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31.3(2)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31.3(2)</w:t>
      </w:r>
      <w:r>
        <w:rPr>
          <w:rFonts w:ascii="Times New Roman" w:hAnsi="Times New Roman"/>
          <w:b w:val="false"/>
          <w:i w:val="false"/>
          <w:color w:val="000000"/>
          <w:sz w:val="24"/>
        </w:rPr>
        <w:t> </w:t>
      </w:r>
      <w:r>
        <w:rPr>
          <w:rFonts w:ascii="Times New Roman" w:hAnsi="Times New Roman"/>
          <w:b w:val="false"/>
          <w:i w:val="false"/>
          <w:color w:val="000000"/>
          <w:sz w:val="24"/>
        </w:rPr>
        <w:t xml:space="preserve">Contracts, arrangements, or other similar transactions with an affiliate where the consideration is not in excess of $250,000 </w:t>
      </w:r>
      <w:r>
        <w:rPr>
          <w:rFonts w:ascii="Times New Roman" w:hAnsi="Times New Roman"/>
          <w:b w:val="false"/>
          <w:i w:val="false"/>
          <w:strike/>
          <w:color w:val="000000"/>
          <w:sz w:val="24"/>
        </w:rPr>
        <w:t>or 5 percent of the capital equity of the utility, whichever is smaller,</w:t>
      </w:r>
      <w:r>
        <w:rPr>
          <w:rFonts w:ascii="Times New Roman" w:hAnsi="Times New Roman"/>
          <w:b w:val="false"/>
          <w:i w:val="false"/>
          <w:color w:val="000000"/>
          <w:sz w:val="24"/>
        </w:rPr>
        <w:t xml:space="preserve"> are exempt from this filing requirement. In lieu of the filing requirement, the public utility shall file on or before June 30 of each year a report of the total amount of each contract, arrangement, or other similar transactions with affiliates qualifying under this exemption. Each affiliate is to be identified separately.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35.6(2)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35.6(2)</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30 days after filing, each application for approval of an energy efficiency and demand response plan that is submitted with the information and supporting documentation required by this chapter, and that complies with the filing requirements of </w:t>
      </w:r>
      <w:hyperlink r:id="rId86">
        <w:r>
          <w:rPr>
            <w:rStyle w:val="Hyperlink"/>
            <w:rFonts w:ascii="Times New Roman" w:hAnsi="Times New Roman"/>
            <w:b w:val="false"/>
            <w:i w:val="false"/>
            <w:color w:val="000000"/>
            <w:sz w:val="24"/>
          </w:rPr>
          <w:t>199—Chapter 14</w:t>
        </w:r>
      </w:hyperlink>
      <w:r>
        <w:rPr>
          <w:rFonts w:ascii="Times New Roman" w:hAnsi="Times New Roman"/>
          <w:b w:val="false"/>
          <w:i w:val="false"/>
          <w:color w:val="000000"/>
          <w:sz w:val="24"/>
        </w:rPr>
        <w:t xml:space="preserve">, shall be docketed as a contested case proceeding. The Iowa economic development authority shall be considered a party to the proceeding. The proceeding shall follow the applicable provisions of </w:t>
      </w:r>
      <w:hyperlink r:id="rId87">
        <w:r>
          <w:rPr>
            <w:rStyle w:val="Hyperlink"/>
            <w:rFonts w:ascii="Times New Roman" w:hAnsi="Times New Roman"/>
            <w:b w:val="false"/>
            <w:i w:val="false"/>
            <w:strike/>
            <w:color w:val="000000"/>
            <w:sz w:val="24"/>
          </w:rPr>
          <w:t>199—Chapter 7</w:t>
        </w:r>
      </w:hyperlink>
      <w:r>
        <w:rPr>
          <w:rFonts w:ascii="Times New Roman" w:hAnsi="Times New Roman"/>
          <w:b w:val="false"/>
          <w:i w:val="false"/>
          <w:color w:val="000000"/>
          <w:sz w:val="24"/>
          <w:u w:val="single"/>
        </w:rPr>
        <w:t> </w:t>
      </w:r>
      <w:hyperlink r:id="rId88">
        <w:r>
          <w:rPr>
            <w:rStyle w:val="Hyperlink"/>
            <w:rFonts w:ascii="Times New Roman" w:hAnsi="Times New Roman"/>
            <w:b w:val="false"/>
            <w:i w:val="false"/>
            <w:color w:val="000000"/>
            <w:sz w:val="24"/>
            <w:u w:val="single"/>
          </w:rPr>
          <w:t>199—Chapter 2506</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199—35.12(476)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199—35.12</w:t>
      </w:r>
      <w:r>
        <w:rPr>
          <w:rFonts w:ascii="Times New Roman" w:hAnsi="Times New Roman"/>
          <w:b/>
          <w:i w:val="false"/>
          <w:color w:val="000000"/>
          <w:sz w:val="24"/>
        </w:rPr>
        <w:t xml:space="preserve">(476) </w:t>
      </w:r>
      <w:r>
        <w:rPr>
          <w:rFonts w:ascii="Times New Roman" w:hAnsi="Times New Roman"/>
          <w:b/>
          <w:i w:val="false"/>
          <w:color w:val="000000"/>
          <w:sz w:val="24"/>
        </w:rPr>
        <w:t xml:space="preserve">New structure energy conservation standards. </w:t>
      </w:r>
      <w:r>
        <w:rPr>
          <w:rFonts w:ascii="Times New Roman" w:hAnsi="Times New Roman"/>
          <w:b w:val="false"/>
          <w:i w:val="false"/>
          <w:color w:val="000000"/>
          <w:sz w:val="24"/>
        </w:rPr>
        <w:t xml:space="preserve">A utility providing natural gas or electric service shall not provide service to any structure completed after April 1, 1984, unless the owner or builder of the structure has certified to the utility that the building conforms to the energy conservation requirements adopted under </w:t>
      </w:r>
      <w:hyperlink r:id="rId89">
        <w:r>
          <w:rPr>
            <w:rStyle w:val="Hyperlink"/>
            <w:rFonts w:ascii="Times New Roman" w:hAnsi="Times New Roman"/>
            <w:b w:val="false"/>
            <w:i w:val="false"/>
            <w:strike/>
            <w:color w:val="000000"/>
            <w:sz w:val="24"/>
          </w:rPr>
          <w:t>661—Chapter 303</w:t>
        </w:r>
      </w:hyperlink>
      <w:r>
        <w:rPr>
          <w:rFonts w:ascii="Times New Roman" w:hAnsi="Times New Roman"/>
          <w:b w:val="false"/>
          <w:i w:val="false"/>
          <w:color w:val="000000"/>
          <w:sz w:val="24"/>
          <w:u w:val="single"/>
        </w:rPr>
        <w:t> </w:t>
      </w:r>
      <w:hyperlink r:id="rId90">
        <w:r>
          <w:rPr>
            <w:rStyle w:val="Hyperlink"/>
            <w:rFonts w:ascii="Times New Roman" w:hAnsi="Times New Roman"/>
            <w:b w:val="false"/>
            <w:i w:val="false"/>
            <w:color w:val="000000"/>
            <w:sz w:val="24"/>
            <w:u w:val="single"/>
          </w:rPr>
          <w:t>481—Chapter 301</w:t>
        </w:r>
      </w:hyperlink>
      <w:r>
        <w:rPr>
          <w:rFonts w:ascii="Times New Roman" w:hAnsi="Times New Roman"/>
          <w:b w:val="false"/>
          <w:i w:val="false"/>
          <w:color w:val="000000"/>
          <w:sz w:val="24"/>
          <w:u w:val="single"/>
        </w:rPr>
        <w:t>, Part 3</w:t>
      </w:r>
      <w:r>
        <w:rPr>
          <w:rFonts w:ascii="Times New Roman" w:hAnsi="Times New Roman"/>
          <w:b w:val="false"/>
          <w:i w:val="false"/>
          <w:color w:val="000000"/>
          <w:sz w:val="24"/>
        </w:rPr>
        <w:t xml:space="preserve">. If this compliance is already being certified to a state or local agency, a copy of that certification shall be provided to the utility. If no state or local agency is monitoring compliance with these energy conservation standards, the owner or builder shall certify that the structure complies with the standards by signing a form provided by the utility. No certification will be required for structures that are not governed by </w:t>
      </w:r>
      <w:hyperlink r:id="rId91">
        <w:r>
          <w:rPr>
            <w:rStyle w:val="Hyperlink"/>
            <w:rFonts w:ascii="Times New Roman" w:hAnsi="Times New Roman"/>
            <w:b w:val="false"/>
            <w:i w:val="false"/>
            <w:strike/>
            <w:color w:val="000000"/>
            <w:sz w:val="24"/>
          </w:rPr>
          <w:t>661—Chapter 303</w:t>
        </w:r>
      </w:hyperlink>
      <w:r>
        <w:rPr>
          <w:rFonts w:ascii="Times New Roman" w:hAnsi="Times New Roman"/>
          <w:b w:val="false"/>
          <w:i w:val="false"/>
          <w:color w:val="000000"/>
          <w:sz w:val="24"/>
          <w:u w:val="single"/>
        </w:rPr>
        <w:t> </w:t>
      </w:r>
      <w:hyperlink r:id="rId92">
        <w:r>
          <w:rPr>
            <w:rStyle w:val="Hyperlink"/>
            <w:rFonts w:ascii="Times New Roman" w:hAnsi="Times New Roman"/>
            <w:b w:val="false"/>
            <w:i w:val="false"/>
            <w:color w:val="000000"/>
            <w:sz w:val="24"/>
            <w:u w:val="single"/>
          </w:rPr>
          <w:t>481—Chapter 301</w:t>
        </w:r>
      </w:hyperlink>
      <w:r>
        <w:rPr>
          <w:rFonts w:ascii="Times New Roman" w:hAnsi="Times New Roman"/>
          <w:b w:val="false"/>
          <w:i w:val="false"/>
          <w:color w:val="000000"/>
          <w:sz w:val="24"/>
          <w:u w:val="single"/>
        </w:rPr>
        <w:t>, Part 3</w:t>
      </w:r>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39.3(2)“g”</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 detailed description, including a map or maps, of the geographic service area for which the applicant requests an ETC designation from the commission. An applicant seeking designation in connection with a support mechanism through which support is allocated to specific census blocks or locations shall file a list of the census blocks or locations in or at which the applicant will serve as an ETC, in addition to the map included with the description required by this paragraph. Wireless telecommunications carriers, defined as commercial mobile radio service providers in </w:t>
      </w:r>
      <w:r>
        <w:rPr>
          <w:rFonts w:ascii="Times New Roman" w:hAnsi="Times New Roman"/>
          <w:b w:val="false"/>
          <w:i w:val="false"/>
          <w:color w:val="000000"/>
          <w:sz w:val="24"/>
        </w:rPr>
        <w:t>47 CFR Parts 20</w:t>
      </w:r>
      <w:r>
        <w:rPr>
          <w:rFonts w:ascii="Times New Roman" w:hAnsi="Times New Roman"/>
          <w:b w:val="false"/>
          <w:i w:val="false"/>
          <w:color w:val="000000"/>
          <w:sz w:val="24"/>
        </w:rPr>
        <w:t xml:space="preserve"> and </w:t>
      </w:r>
      <w:r>
        <w:rPr>
          <w:rFonts w:ascii="Times New Roman" w:hAnsi="Times New Roman"/>
          <w:b w:val="false"/>
          <w:i w:val="false"/>
          <w:color w:val="000000"/>
          <w:sz w:val="24"/>
        </w:rPr>
        <w:t>24</w:t>
      </w:r>
      <w:r>
        <w:rPr>
          <w:rFonts w:ascii="Times New Roman" w:hAnsi="Times New Roman"/>
          <w:b w:val="false"/>
          <w:i w:val="false"/>
          <w:color w:val="000000"/>
          <w:sz w:val="24"/>
        </w:rPr>
        <w:t xml:space="preserve">, shall file coverage area maps and maps that depict signal strength. Requests to withhold from public inspection maps depicting signal strength will be deemed granted as provided in </w:t>
      </w:r>
      <w:hyperlink r:id="rId93">
        <w:r>
          <w:rPr>
            <w:rStyle w:val="Hyperlink"/>
            <w:rFonts w:ascii="Times New Roman" w:hAnsi="Times New Roman"/>
            <w:b w:val="false"/>
            <w:i w:val="false"/>
            <w:strike/>
            <w:color w:val="000000"/>
            <w:sz w:val="24"/>
          </w:rPr>
          <w:t>199—Chapter 1</w:t>
        </w:r>
      </w:hyperlink>
      <w:r>
        <w:rPr>
          <w:rFonts w:ascii="Times New Roman" w:hAnsi="Times New Roman"/>
          <w:b w:val="false"/>
          <w:i w:val="false"/>
          <w:color w:val="000000"/>
          <w:sz w:val="24"/>
          <w:u w:val="single"/>
        </w:rPr>
        <w:t> </w:t>
      </w:r>
      <w:hyperlink r:id="rId94">
        <w:r>
          <w:rPr>
            <w:rStyle w:val="Hyperlink"/>
            <w:rFonts w:ascii="Times New Roman" w:hAnsi="Times New Roman"/>
            <w:b w:val="false"/>
            <w:i w:val="false"/>
            <w:color w:val="000000"/>
            <w:sz w:val="24"/>
            <w:u w:val="single"/>
          </w:rPr>
          <w:t>7—Chapter 2505</w:t>
        </w:r>
      </w:hyperlink>
      <w:r>
        <w:rPr>
          <w:rFonts w:ascii="Times New Roman" w:hAnsi="Times New Roman"/>
          <w:b w:val="false"/>
          <w:i w:val="false"/>
          <w:color w:val="000000"/>
          <w:sz w:val="24"/>
          <w:u w:val="single"/>
        </w:rPr>
        <w:t xml:space="preserve"> and </w:t>
      </w:r>
      <w:hyperlink r:id="rId95">
        <w:r>
          <w:rPr>
            <w:rStyle w:val="Hyperlink"/>
            <w:rFonts w:ascii="Times New Roman" w:hAnsi="Times New Roman"/>
            <w:b w:val="false"/>
            <w:i w:val="false"/>
            <w:color w:val="000000"/>
            <w:sz w:val="24"/>
            <w:u w:val="single"/>
          </w:rPr>
          <w:t>199—Chapter 2505</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199—39.8(476)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199—39.8</w:t>
      </w:r>
      <w:r>
        <w:rPr>
          <w:rFonts w:ascii="Times New Roman" w:hAnsi="Times New Roman"/>
          <w:b/>
          <w:i w:val="false"/>
          <w:color w:val="000000"/>
          <w:sz w:val="24"/>
        </w:rPr>
        <w:t xml:space="preserve">(476) </w:t>
      </w:r>
      <w:r>
        <w:rPr>
          <w:rFonts w:ascii="Times New Roman" w:hAnsi="Times New Roman"/>
          <w:b/>
          <w:i w:val="false"/>
          <w:color w:val="000000"/>
          <w:sz w:val="24"/>
        </w:rPr>
        <w:t xml:space="preserve">Relinquishment of ETC designation.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39.8(1)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commission may permit an ETC to relinquish its designation as such a carrier in any area served by more than one ETC. An ETC that seeks to relinquish its designation for an area served by more than one ETC shall give 30 days’ advance notice to the commission of such relinquishment. </w:t>
      </w:r>
      <w:r>
        <w:rPr>
          <w:rFonts w:ascii="Times New Roman" w:hAnsi="Times New Roman"/>
          <w:b w:val="false"/>
          <w:i w:val="false"/>
          <w:color w:val="000000"/>
          <w:sz w:val="24"/>
          <w:u w:val="single"/>
        </w:rPr>
        <w:t>Additionally, the relinquishing carrier must certify to at least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carrier made a good faith effort to provide 30 days’ advance notice to other ETCs operating in the relinquished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carrier has no active customers in the relinquished service area;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carrier has taken the necessary steps to transition all of its customers in the relinquished service area to an alternative ETC.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39.8(2)</w:t>
      </w:r>
      <w:r>
        <w:rPr>
          <w:rFonts w:ascii="Times New Roman" w:hAnsi="Times New Roman"/>
          <w:b w:val="false"/>
          <w:i w:val="false"/>
          <w:color w:val="000000"/>
          <w:sz w:val="24"/>
        </w:rPr>
        <w:t> </w:t>
      </w:r>
      <w:r>
        <w:rPr>
          <w:rFonts w:ascii="Times New Roman" w:hAnsi="Times New Roman"/>
          <w:b w:val="false"/>
          <w:i w:val="false"/>
          <w:color w:val="000000"/>
          <w:sz w:val="24"/>
        </w:rPr>
        <w:t>A carrier that is granted ETC status in connection with a federal universal support program but that ultimately does not receive the support shall, within 30 days after the FCC issues a public notice regarding the award of support, file a notice of relinquishment of the carrier’s designation for any service areas where the carrier is not awarded funds and does not plan to offer service.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41.5(1)“c”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proposed procedural schedule that, at a minimum, provides proposed dates for direct testimony, rebuttal testimony, and a hearing for cross-examination of all testimony. The proposed schedule should generally comply with the commission’s procedural rules in </w:t>
      </w:r>
      <w:hyperlink r:id="rId96">
        <w:r>
          <w:rPr>
            <w:rStyle w:val="Hyperlink"/>
            <w:rFonts w:ascii="Times New Roman" w:hAnsi="Times New Roman"/>
            <w:b w:val="false"/>
            <w:i w:val="false"/>
            <w:strike/>
            <w:color w:val="000000"/>
            <w:sz w:val="24"/>
          </w:rPr>
          <w:t>199—Chapter 7</w:t>
        </w:r>
      </w:hyperlink>
      <w:r>
        <w:rPr>
          <w:rFonts w:ascii="Times New Roman" w:hAnsi="Times New Roman"/>
          <w:b w:val="false"/>
          <w:i w:val="false"/>
          <w:color w:val="000000"/>
          <w:sz w:val="24"/>
          <w:u w:val="single"/>
        </w:rPr>
        <w:t> </w:t>
      </w:r>
      <w:hyperlink r:id="rId97">
        <w:r>
          <w:rPr>
            <w:rStyle w:val="Hyperlink"/>
            <w:rFonts w:ascii="Times New Roman" w:hAnsi="Times New Roman"/>
            <w:b w:val="false"/>
            <w:i w:val="false"/>
            <w:color w:val="000000"/>
            <w:sz w:val="24"/>
            <w:u w:val="single"/>
          </w:rPr>
          <w:t>199—Chapter 2506</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41.5(6)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41.5(6)</w:t>
      </w:r>
      <w:r>
        <w:rPr>
          <w:rFonts w:ascii="Times New Roman" w:hAnsi="Times New Roman"/>
          <w:b w:val="false"/>
          <w:i w:val="false"/>
          <w:color w:val="000000"/>
          <w:sz w:val="24"/>
        </w:rPr>
        <w:t> </w:t>
      </w:r>
      <w:r>
        <w:rPr>
          <w:rFonts w:ascii="Times New Roman" w:hAnsi="Times New Roman"/>
          <w:b w:val="false"/>
          <w:i/>
          <w:color w:val="000000"/>
          <w:sz w:val="24"/>
        </w:rPr>
        <w:t xml:space="preserve">Expedited timeline. </w:t>
      </w:r>
      <w:r>
        <w:rPr>
          <w:rFonts w:ascii="Times New Roman" w:hAnsi="Times New Roman"/>
          <w:b w:val="false"/>
          <w:i w:val="false"/>
          <w:color w:val="000000"/>
          <w:sz w:val="24"/>
        </w:rPr>
        <w:t xml:space="preserve">The shortened time limits applicable to expedited proceedings in </w:t>
      </w:r>
      <w:hyperlink r:id="rId98">
        <w:r>
          <w:rPr>
            <w:rStyle w:val="Hyperlink"/>
            <w:rFonts w:ascii="Times New Roman" w:hAnsi="Times New Roman"/>
            <w:b w:val="false"/>
            <w:i w:val="false"/>
            <w:strike/>
            <w:color w:val="000000"/>
            <w:sz w:val="24"/>
          </w:rPr>
          <w:t>199—Chapter 7</w:t>
        </w:r>
      </w:hyperlink>
      <w:r>
        <w:rPr>
          <w:rFonts w:ascii="Times New Roman" w:hAnsi="Times New Roman"/>
          <w:b w:val="false"/>
          <w:i w:val="false"/>
          <w:color w:val="000000"/>
          <w:sz w:val="24"/>
          <w:u w:val="single"/>
        </w:rPr>
        <w:t> </w:t>
      </w:r>
      <w:hyperlink r:id="rId99">
        <w:r>
          <w:rPr>
            <w:rStyle w:val="Hyperlink"/>
            <w:rFonts w:ascii="Times New Roman" w:hAnsi="Times New Roman"/>
            <w:b w:val="false"/>
            <w:i w:val="false"/>
            <w:color w:val="000000"/>
            <w:sz w:val="24"/>
            <w:u w:val="single"/>
          </w:rPr>
          <w:t>199—Chapter 2506</w:t>
        </w:r>
      </w:hyperlink>
      <w:r>
        <w:rPr>
          <w:rFonts w:ascii="Times New Roman" w:hAnsi="Times New Roman"/>
          <w:b w:val="false"/>
          <w:i w:val="false"/>
          <w:color w:val="000000"/>
          <w:sz w:val="24"/>
        </w:rPr>
        <w:t xml:space="preserve"> shall apply to proceedings commenced under this rule.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42.18(5)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42.18(5)</w:t>
      </w:r>
      <w:r>
        <w:rPr>
          <w:rFonts w:ascii="Times New Roman" w:hAnsi="Times New Roman"/>
          <w:b w:val="false"/>
          <w:i w:val="false"/>
          <w:color w:val="000000"/>
          <w:sz w:val="24"/>
        </w:rPr>
        <w:t> </w:t>
      </w:r>
      <w:r>
        <w:rPr>
          <w:rFonts w:ascii="Times New Roman" w:hAnsi="Times New Roman"/>
          <w:b w:val="false"/>
          <w:i/>
          <w:color w:val="000000"/>
          <w:sz w:val="24"/>
        </w:rPr>
        <w:t xml:space="preserve">Expedited timeline. </w:t>
      </w:r>
      <w:r>
        <w:rPr>
          <w:rFonts w:ascii="Times New Roman" w:hAnsi="Times New Roman"/>
          <w:b w:val="false"/>
          <w:i w:val="false"/>
          <w:color w:val="000000"/>
          <w:sz w:val="24"/>
        </w:rPr>
        <w:t xml:space="preserve">The commission recognizes that the parties will ordinarily require a swift decision. Therefore, the shortened time limits applicable to expedited proceedings in </w:t>
      </w:r>
      <w:hyperlink r:id="rId100">
        <w:r>
          <w:rPr>
            <w:rStyle w:val="Hyperlink"/>
            <w:rFonts w:ascii="Times New Roman" w:hAnsi="Times New Roman"/>
            <w:b w:val="false"/>
            <w:i w:val="false"/>
            <w:strike/>
            <w:color w:val="000000"/>
            <w:sz w:val="24"/>
          </w:rPr>
          <w:t>199—Chapter 7</w:t>
        </w:r>
      </w:hyperlink>
      <w:r>
        <w:rPr>
          <w:rFonts w:ascii="Times New Roman" w:hAnsi="Times New Roman"/>
          <w:b w:val="false"/>
          <w:i w:val="false"/>
          <w:color w:val="000000"/>
          <w:sz w:val="24"/>
          <w:u w:val="single"/>
        </w:rPr>
        <w:t> </w:t>
      </w:r>
      <w:hyperlink r:id="rId101">
        <w:r>
          <w:rPr>
            <w:rStyle w:val="Hyperlink"/>
            <w:rFonts w:ascii="Times New Roman" w:hAnsi="Times New Roman"/>
            <w:b w:val="false"/>
            <w:i w:val="false"/>
            <w:color w:val="000000"/>
            <w:sz w:val="24"/>
            <w:u w:val="single"/>
          </w:rPr>
          <w:t>199—Chapter 2506</w:t>
        </w:r>
      </w:hyperlink>
      <w:r>
        <w:rPr>
          <w:rFonts w:ascii="Times New Roman" w:hAnsi="Times New Roman"/>
          <w:b w:val="false"/>
          <w:i w:val="false"/>
          <w:color w:val="000000"/>
          <w:sz w:val="24"/>
        </w:rPr>
        <w:t xml:space="preserve"> shall apply to contested cases brought under this chapter.</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199—45.1(476)</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“UL Standard 1741,”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“UL Standard 1741”</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standard titled “Inverters, Converters, Controllers, and Interconnection System Equipment for Use with Distributed Energy Resources,” </w:t>
      </w:r>
      <w:r>
        <w:rPr>
          <w:rFonts w:ascii="Times New Roman" w:hAnsi="Times New Roman"/>
          <w:b w:val="false"/>
          <w:i w:val="false"/>
          <w:strike/>
          <w:color w:val="000000"/>
          <w:sz w:val="24"/>
        </w:rPr>
        <w:t>January 28, 2010, edition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September 28, 2021</w:t>
      </w:r>
      <w:r>
        <w:rPr>
          <w:rFonts w:ascii="Times New Roman" w:hAnsi="Times New Roman"/>
          <w:b w:val="false"/>
          <w:i w:val="false"/>
          <w:color w:val="000000"/>
          <w:sz w:val="24"/>
        </w:rPr>
        <w:t>, Underwriters Laboratories Inc., 333 Pfingsten Road, Northbrook, IL 60062-2096.</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45.3(1)“a”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Standard for Interconnection and Interoperability of Distributed Energy Resources and Associated Electric Power System Interfaces, IEEE Standard 1547, </w:t>
      </w:r>
      <w:r>
        <w:rPr>
          <w:rFonts w:ascii="Times New Roman" w:hAnsi="Times New Roman"/>
          <w:b w:val="false"/>
          <w:i w:val="false"/>
          <w:strike/>
          <w:color w:val="000000"/>
          <w:sz w:val="24"/>
        </w:rPr>
        <w:t>in effect April 6, 2018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amended through March 9, 2020</w:t>
      </w:r>
      <w:r>
        <w:rPr>
          <w:rFonts w:ascii="Times New Roman" w:hAnsi="Times New Roman"/>
          <w:b w:val="false"/>
          <w:i w:val="false"/>
          <w:color w:val="000000"/>
          <w:sz w:val="24"/>
        </w:rPr>
        <w:t>. For guidance in applying IEEE Standard 1547, the utility may refer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2506.23(10)</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2506.23(10)</w:t>
      </w:r>
      <w:r>
        <w:rPr>
          <w:rFonts w:ascii="Times New Roman" w:hAnsi="Times New Roman"/>
          <w:b w:val="false"/>
          <w:i w:val="false"/>
          <w:color w:val="000000"/>
          <w:sz w:val="24"/>
        </w:rPr>
        <w:t> </w:t>
      </w:r>
      <w:r>
        <w:rPr>
          <w:rFonts w:ascii="Times New Roman" w:hAnsi="Times New Roman"/>
          <w:b w:val="false"/>
          <w:i/>
          <w:color w:val="000000"/>
          <w:sz w:val="24"/>
        </w:rPr>
        <w:t xml:space="preserve">Record. </w:t>
      </w:r>
      <w:r>
        <w:rPr>
          <w:rFonts w:ascii="Times New Roman" w:hAnsi="Times New Roman"/>
          <w:b w:val="false"/>
          <w:i w:val="false"/>
          <w:color w:val="000000"/>
          <w:sz w:val="24"/>
        </w:rPr>
        <w:t xml:space="preserve">The record of the case is maintained in the commission’s electronic filing system. Unless the record is held confidential pursuant to </w:t>
      </w:r>
      <w:r>
        <w:rPr>
          <w:rFonts w:ascii="Times New Roman" w:hAnsi="Times New Roman"/>
          <w:b w:val="false"/>
          <w:i w:val="false"/>
          <w:strike/>
          <w:color w:val="000000"/>
          <w:sz w:val="24"/>
        </w:rPr>
        <w:t xml:space="preserve">the “public information and inspection of records” rule in </w:t>
      </w:r>
      <w:hyperlink r:id="rId102">
        <w:r>
          <w:rPr>
            <w:rStyle w:val="Hyperlink"/>
            <w:rFonts w:ascii="Times New Roman" w:hAnsi="Times New Roman"/>
            <w:b w:val="false"/>
            <w:i w:val="false"/>
            <w:strike/>
            <w:color w:val="000000"/>
            <w:sz w:val="24"/>
          </w:rPr>
          <w:t>199—Chapter 1</w:t>
        </w:r>
      </w:hyperlink>
      <w:r>
        <w:rPr>
          <w:rFonts w:ascii="Times New Roman" w:hAnsi="Times New Roman"/>
          <w:b w:val="false"/>
          <w:i w:val="false"/>
          <w:color w:val="000000"/>
          <w:sz w:val="24"/>
          <w:u w:val="single"/>
        </w:rPr>
        <w:t> </w:t>
      </w:r>
      <w:hyperlink r:id="rId103">
        <w:r>
          <w:rPr>
            <w:rStyle w:val="Hyperlink"/>
            <w:rFonts w:ascii="Times New Roman" w:hAnsi="Times New Roman"/>
            <w:b w:val="false"/>
            <w:i w:val="false"/>
            <w:color w:val="000000"/>
            <w:sz w:val="24"/>
            <w:u w:val="single"/>
          </w:rPr>
          <w:t>199—subrule 2505.5(4)</w:t>
        </w:r>
      </w:hyperlink>
      <w:r>
        <w:rPr>
          <w:rFonts w:ascii="Times New Roman" w:hAnsi="Times New Roman"/>
          <w:b w:val="false"/>
          <w:i w:val="false"/>
          <w:color w:val="000000"/>
          <w:sz w:val="24"/>
        </w:rPr>
        <w:t>, parties and members of the public may examine the record and obtain copies of documents, including the transcript, when available.</w:t>
      </w:r>
    </w:p>
    <w:p>
      <w:pPr>
        <w:spacing w:before="0" w:after="0" w:line="480"/>
        <w:ind w:left="120"/>
        <w:jc w:val="left"/>
      </w:pPr>
      <w:bookmarkStart w:name="lastARC" w:id="2"/>
      <w:bookmarkEnd w:id="2"/>
    </w:p>
    <w:sectPr>
      <w:footerReference r:id="rId10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efs.iowa.gov" Type="http://schemas.openxmlformats.org/officeDocument/2006/relationships/hyperlink" Id="rId4"/>
    <Relationship TargetMode="External" Target="mailto:ITSupport@iub.iowa.gov"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ac/chapter/199.7.pdf" Type="http://schemas.openxmlformats.org/officeDocument/2006/relationships/hyperlink" Id="rId7"/>
    <Relationship TargetMode="External" Target="https://www.legis.iowa.gov/docs/iac/chapter/199.2506.pdf" Type="http://schemas.openxmlformats.org/officeDocument/2006/relationships/hyperlink" Id="rId8"/>
    <Relationship TargetMode="External" Target="https://www.legis.iowa.gov/docs/iac/chapter/199.7.pdf" Type="http://schemas.openxmlformats.org/officeDocument/2006/relationships/hyperlink" Id="rId9"/>
    <Relationship TargetMode="External" Target="https://www.legis.iowa.gov/docs/iac/chapter/199.2506.pdf" Type="http://schemas.openxmlformats.org/officeDocument/2006/relationships/hyperlink" Id="rId10"/>
    <Relationship TargetMode="External" Target="https://www.legis.iowa.gov/docs/ico/chapter/476.1D.pdf" Type="http://schemas.openxmlformats.org/officeDocument/2006/relationships/hyperlink" Id="rId11"/>
    <Relationship TargetMode="External" Target="https://www.legis.iowa.gov/docs/iac/chapter/199.22.pdf" Type="http://schemas.openxmlformats.org/officeDocument/2006/relationships/hyperlink" Id="rId12"/>
    <Relationship TargetMode="External" Target="https://www.legis.iowa.gov/docs/iac/rule/199.22.9.pdf" Type="http://schemas.openxmlformats.org/officeDocument/2006/relationships/hyperlink" Id="rId13"/>
    <Relationship TargetMode="External" Target="https://www.legis.iowa.gov/docs/iac/rule/199.9.5.pdf" Type="http://schemas.openxmlformats.org/officeDocument/2006/relationships/hyperlink" Id="rId14"/>
    <Relationship TargetMode="External" Target="https://www.legis.iowa.gov/docs/iac/rule/199.9.6.pdf" Type="http://schemas.openxmlformats.org/officeDocument/2006/relationships/hyperlink" Id="rId15"/>
    <Relationship TargetMode="External" Target="https://www.legis.iowa.gov/docs/iac/rule/199.1.3.pdf" Type="http://schemas.openxmlformats.org/officeDocument/2006/relationships/hyperlink" Id="rId16"/>
    <Relationship TargetMode="External" Target="https://www.legis.iowa.gov/docs/iac/chapter/7.2504.pdf" Type="http://schemas.openxmlformats.org/officeDocument/2006/relationships/hyperlink" Id="rId17"/>
    <Relationship TargetMode="External" Target="https://www.legis.iowa.gov/docs/ico/chapter/479.7.pdf" Type="http://schemas.openxmlformats.org/officeDocument/2006/relationships/hyperlink" Id="rId18"/>
    <Relationship TargetMode="External" Target="https://www.legis.iowa.gov/docs/ico/chapter/479.8.pdf" Type="http://schemas.openxmlformats.org/officeDocument/2006/relationships/hyperlink" Id="rId19"/>
    <Relationship TargetMode="External" Target="https://www.legis.iowa.gov/docs/iac/chapter/199.7.pdf" Type="http://schemas.openxmlformats.org/officeDocument/2006/relationships/hyperlink" Id="rId20"/>
    <Relationship TargetMode="External" Target="https://www.legis.iowa.gov/docs/iac/chapter/199.2506.pdf" Type="http://schemas.openxmlformats.org/officeDocument/2006/relationships/hyperlink" Id="rId21"/>
    <Relationship TargetMode="External" Target="https://www.legis.iowa.gov/docs/iac/rule/199.11.5.pdf" Type="http://schemas.openxmlformats.org/officeDocument/2006/relationships/hyperlink" Id="rId22"/>
    <Relationship TargetMode="External" Target="https://www.legis.iowa.gov/docs/iac/rule/199.11.5.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479.7.pdf" Type="http://schemas.openxmlformats.org/officeDocument/2006/relationships/hyperlink" Id="rId25"/>
    <Relationship TargetMode="External" Target="https://www.legis.iowa.gov/docs/ico/chapter/479B.6.pdf" Type="http://schemas.openxmlformats.org/officeDocument/2006/relationships/hyperlink" Id="rId26"/>
    <Relationship TargetMode="External" Target="https://www.legis.iowa.gov/docs/iac/chapter/199.7.pdf" Type="http://schemas.openxmlformats.org/officeDocument/2006/relationships/hyperlink" Id="rId27"/>
    <Relationship TargetMode="External" Target="https://www.legis.iowa.gov/docs/iac/chapter/199.2506.pdf" Type="http://schemas.openxmlformats.org/officeDocument/2006/relationships/hyperlink" Id="rId28"/>
    <Relationship TargetMode="External" Target="https://www.legis.iowa.gov/docs/iac/rule/199.14.6.pdf" Type="http://schemas.openxmlformats.org/officeDocument/2006/relationships/hyperlink" Id="rId29"/>
    <Relationship TargetMode="External" Target="https://www.legis.iowa.gov/docs/iac/rule/199.14.6.pdf" Type="http://schemas.openxmlformats.org/officeDocument/2006/relationships/hyperlink" Id="rId30"/>
    <Relationship TargetMode="External" Target="https://www.legis.iowa.gov/docs/iac/chapter/199.7.pdf" Type="http://schemas.openxmlformats.org/officeDocument/2006/relationships/hyperlink" Id="rId31"/>
    <Relationship TargetMode="External" Target="https://www.legis.iowa.gov/docs/iac/rule/199.2506.23.pdf" Type="http://schemas.openxmlformats.org/officeDocument/2006/relationships/hyperlink" Id="rId32"/>
    <Relationship TargetMode="External" Target="https://www.legis.iowa.gov/docs/iac/chapter/199.26.pdf" Type="http://schemas.openxmlformats.org/officeDocument/2006/relationships/hyperlink" Id="rId33"/>
    <Relationship TargetMode="External" Target="https://www.legis.iowa.gov/docs/iac/chapter/199.1.pdf" Type="http://schemas.openxmlformats.org/officeDocument/2006/relationships/hyperlink" Id="rId34"/>
    <Relationship TargetMode="External" Target="https://www.legis.iowa.gov/docs/iac/chapter/7.2505.pdf" Type="http://schemas.openxmlformats.org/officeDocument/2006/relationships/hyperlink" Id="rId35"/>
    <Relationship TargetMode="External" Target="https://www.legis.iowa.gov/docs/iac/chapter/199.2505.pdf" Type="http://schemas.openxmlformats.org/officeDocument/2006/relationships/hyperlink" Id="rId36"/>
    <Relationship TargetMode="External" Target="https://www.legis.iowa.gov/docs/iac/chapter/199.14.pdf" Type="http://schemas.openxmlformats.org/officeDocument/2006/relationships/hyperlink" Id="rId37"/>
    <Relationship TargetMode="External" Target="https://www.legis.iowa.gov/docs/iac/chapter/199.7.pdf" Type="http://schemas.openxmlformats.org/officeDocument/2006/relationships/hyperlink" Id="rId38"/>
    <Relationship TargetMode="External" Target="https://www.legis.iowa.gov/docs/iac/rule/199.2506.4.pdf" Type="http://schemas.openxmlformats.org/officeDocument/2006/relationships/hyperlink" Id="rId39"/>
    <Relationship TargetMode="External" Target="https://www.legis.iowa.gov/docs/iac/rule/199.1.3.pdf" Type="http://schemas.openxmlformats.org/officeDocument/2006/relationships/hyperlink" Id="rId40"/>
    <Relationship TargetMode="External" Target="https://www.legis.iowa.gov/docs/iac/chapter/199.2504.pdf" Type="http://schemas.openxmlformats.org/officeDocument/2006/relationships/hyperlink" Id="rId41"/>
    <Relationship TargetMode="External" Target="https://www.legis.iowa.gov/docs/iac/chapter/199.1.pdf" Type="http://schemas.openxmlformats.org/officeDocument/2006/relationships/hyperlink" Id="rId42"/>
    <Relationship TargetMode="External" Target="https://www.legis.iowa.gov/docs/iac/chapter/7.2505.pdf" Type="http://schemas.openxmlformats.org/officeDocument/2006/relationships/hyperlink" Id="rId43"/>
    <Relationship TargetMode="External" Target="https://www.legis.iowa.gov/docs/iac/chapter/199.2505.pdf" Type="http://schemas.openxmlformats.org/officeDocument/2006/relationships/hyperlink" Id="rId44"/>
    <Relationship TargetMode="External" Target="https://www.legis.iowa.gov/docs/iac/chapter/199.16.pdf" Type="http://schemas.openxmlformats.org/officeDocument/2006/relationships/hyperlink" Id="rId45"/>
    <Relationship TargetMode="External" Target="https://www.legis.iowa.gov/docs/iac/rule/199.16.2.pdf" Type="http://schemas.openxmlformats.org/officeDocument/2006/relationships/hyperlink" Id="rId46"/>
    <Relationship TargetMode="External" Target="https://www.legis.iowa.gov/docs/iac/chapter/199.16.pdf" Type="http://schemas.openxmlformats.org/officeDocument/2006/relationships/hyperlink" Id="rId47"/>
    <Relationship TargetMode="External" Target="https://www.legis.iowa.gov/docs/iac/rule/199.16.3.pdf" Type="http://schemas.openxmlformats.org/officeDocument/2006/relationships/hyperlink" Id="rId48"/>
    <Relationship TargetMode="External" Target="https://www.legis.iowa.gov/docs/iac/chapter/199.16.pdf" Type="http://schemas.openxmlformats.org/officeDocument/2006/relationships/hyperlink" Id="rId49"/>
    <Relationship TargetMode="External" Target="https://www.legis.iowa.gov/docs/iac/rule/199.16.4.pdf" Type="http://schemas.openxmlformats.org/officeDocument/2006/relationships/hyperlink" Id="rId50"/>
    <Relationship TargetMode="External" Target="https://www.legis.iowa.gov/docs/iac/rule/199.16.5.pdf" Type="http://schemas.openxmlformats.org/officeDocument/2006/relationships/hyperlink" Id="rId51"/>
    <Relationship TargetMode="External" Target="https://www.legis.iowa.gov/docs/iac/rule/199.20.3.pdf" Type="http://schemas.openxmlformats.org/officeDocument/2006/relationships/hyperlink" Id="rId52"/>
    <Relationship TargetMode="External" Target="https://www.legis.iowa.gov/docs/iac/rule/199.20.3.pdf" Type="http://schemas.openxmlformats.org/officeDocument/2006/relationships/hyperlink" Id="rId53"/>
    <Relationship TargetMode="External" Target="https://www.legis.iowa.gov/docs/iac/rule/199.24.6.pdf" Type="http://schemas.openxmlformats.org/officeDocument/2006/relationships/hyperlink" Id="rId54"/>
    <Relationship TargetMode="External" Target="https://www.legis.iowa.gov/docs/iac/rule/199.7.13.pdf" Type="http://schemas.openxmlformats.org/officeDocument/2006/relationships/hyperlink" Id="rId55"/>
    <Relationship TargetMode="External" Target="https://www.legis.iowa.gov/docs/iac/rule/199.2506.13.pdf" Type="http://schemas.openxmlformats.org/officeDocument/2006/relationships/hyperlink" Id="rId56"/>
    <Relationship TargetMode="External" Target="https://www.legis.iowa.gov/docs/ico/chapter/17A.12.pdf" Type="http://schemas.openxmlformats.org/officeDocument/2006/relationships/hyperlink" Id="rId57"/>
    <Relationship TargetMode="External" Target="https://www.legis.iowa.gov/docs/ico/chapter/476A.6.pdf" Type="http://schemas.openxmlformats.org/officeDocument/2006/relationships/hyperlink" Id="rId58"/>
    <Relationship TargetMode="External" Target="https://www.legis.iowa.gov/docs/ico/chapter/17A.pdf" Type="http://schemas.openxmlformats.org/officeDocument/2006/relationships/hyperlink" Id="rId59"/>
    <Relationship TargetMode="External" Target="https://www.legis.iowa.gov/docs/iac/chapter/199.7.pdf" Type="http://schemas.openxmlformats.org/officeDocument/2006/relationships/hyperlink" Id="rId60"/>
    <Relationship TargetMode="External" Target="https://www.legis.iowa.gov/docs/iac/chapter/199.2506.pdf" Type="http://schemas.openxmlformats.org/officeDocument/2006/relationships/hyperlink" Id="rId61"/>
    <Relationship TargetMode="External" Target="https://www.legis.iowa.gov/docs/ico/chapter/476.53.pdf" Type="http://schemas.openxmlformats.org/officeDocument/2006/relationships/hyperlink" Id="rId62"/>
    <Relationship TargetMode="External" Target="https://www.legis.iowa.gov/docs/iac/rule/199.7.13.pdf" Type="http://schemas.openxmlformats.org/officeDocument/2006/relationships/hyperlink" Id="rId63"/>
    <Relationship TargetMode="External" Target="https://www.legis.iowa.gov/docs/iac/rule/199.2506.13.pdf" Type="http://schemas.openxmlformats.org/officeDocument/2006/relationships/hyperlink" Id="rId64"/>
    <Relationship TargetMode="External" Target="https://www.legis.iowa.gov/docs/iac/rule/199.7.13.pdf" Type="http://schemas.openxmlformats.org/officeDocument/2006/relationships/hyperlink" Id="rId65"/>
    <Relationship TargetMode="External" Target="https://www.legis.iowa.gov/docs/iac/rule/199.2506.13.pdf" Type="http://schemas.openxmlformats.org/officeDocument/2006/relationships/hyperlink" Id="rId66"/>
    <Relationship TargetMode="External" Target="https://www.legis.iowa.gov/docs/ico/chapter/17A.16.pdf" Type="http://schemas.openxmlformats.org/officeDocument/2006/relationships/hyperlink" Id="rId67"/>
    <Relationship TargetMode="External" Target="https://www.legis.iowa.gov/docs/ico/chapter/476.12.pdf" Type="http://schemas.openxmlformats.org/officeDocument/2006/relationships/hyperlink" Id="rId68"/>
    <Relationship TargetMode="External" Target="https://www.legis.iowa.gov/docs/iac/rule/199.7.27.pdf" Type="http://schemas.openxmlformats.org/officeDocument/2006/relationships/hyperlink" Id="rId69"/>
    <Relationship TargetMode="External" Target="https://www.legis.iowa.gov/docs/iac/rule/199.2506.27.pdf" Type="http://schemas.openxmlformats.org/officeDocument/2006/relationships/hyperlink" Id="rId70"/>
    <Relationship TargetMode="External" Target="https://www.legis.iowa.gov/docs/ico/chapter/17A.16.pdf" Type="http://schemas.openxmlformats.org/officeDocument/2006/relationships/hyperlink" Id="rId71"/>
    <Relationship TargetMode="External" Target="https://www.legis.iowa.gov/docs/ico/chapter/476.12.pdf" Type="http://schemas.openxmlformats.org/officeDocument/2006/relationships/hyperlink" Id="rId72"/>
    <Relationship TargetMode="External" Target="https://www.legis.iowa.gov/docs/iac/rule/199.7.27.pdf" Type="http://schemas.openxmlformats.org/officeDocument/2006/relationships/hyperlink" Id="rId73"/>
    <Relationship TargetMode="External" Target="https://www.legis.iowa.gov/docs/iac/rule/199.2506.27.pdf" Type="http://schemas.openxmlformats.org/officeDocument/2006/relationships/hyperlink" Id="rId74"/>
    <Relationship TargetMode="External" Target="https://www.legis.iowa.gov/docs/iac/chapter/199.7.pdf" Type="http://schemas.openxmlformats.org/officeDocument/2006/relationships/hyperlink" Id="rId75"/>
    <Relationship TargetMode="External" Target="https://www.legis.iowa.gov/docs/iac/chapter/199.2506.pdf" Type="http://schemas.openxmlformats.org/officeDocument/2006/relationships/hyperlink" Id="rId76"/>
    <Relationship TargetMode="External" Target="https://www.legis.iowa.gov/docs/iac/chapter/199.35.pdf" Type="http://schemas.openxmlformats.org/officeDocument/2006/relationships/hyperlink" Id="rId77"/>
    <Relationship TargetMode="External" Target="https://www.legis.iowa.gov/docs/iac/rule/199.35.2.pdf" Type="http://schemas.openxmlformats.org/officeDocument/2006/relationships/hyperlink" Id="rId78"/>
    <Relationship TargetMode="External" Target="https://www.legis.iowa.gov/docs/iac/chapter/199.22.pdf" Type="http://schemas.openxmlformats.org/officeDocument/2006/relationships/hyperlink" Id="rId79"/>
    <Relationship TargetMode="External" Target="https://www.legis.iowa.gov/docs/iac/rule/199.22.4.pdf" Type="http://schemas.openxmlformats.org/officeDocument/2006/relationships/hyperlink" Id="rId80"/>
    <Relationship TargetMode="External" Target="https://www.legis.iowa.gov/docs/iac/chapter/199.14.pdf" Type="http://schemas.openxmlformats.org/officeDocument/2006/relationships/hyperlink" Id="rId81"/>
    <Relationship TargetMode="External" Target="https://www.legis.iowa.gov/docs/iac/rule/199.14.5.pdf" Type="http://schemas.openxmlformats.org/officeDocument/2006/relationships/hyperlink" Id="rId82"/>
    <Relationship TargetMode="External" Target="https://www.legis.iowa.gov/docs/iac/chapter/199.7.pdf" Type="http://schemas.openxmlformats.org/officeDocument/2006/relationships/hyperlink" Id="rId83"/>
    <Relationship TargetMode="External" Target="https://www.legis.iowa.gov/docs/iac/chapter/199.2506.pdf" Type="http://schemas.openxmlformats.org/officeDocument/2006/relationships/hyperlink" Id="rId84"/>
    <Relationship TargetMode="External" Target="https://www.legis.iowa.gov/docs/iac/rule/199.26.4.pdf" Type="http://schemas.openxmlformats.org/officeDocument/2006/relationships/hyperlink" Id="rId85"/>
    <Relationship TargetMode="External" Target="https://www.legis.iowa.gov/docs/iac/chapter/199.14.pdf" Type="http://schemas.openxmlformats.org/officeDocument/2006/relationships/hyperlink" Id="rId86"/>
    <Relationship TargetMode="External" Target="https://www.legis.iowa.gov/docs/iac/chapter/199.7.pdf" Type="http://schemas.openxmlformats.org/officeDocument/2006/relationships/hyperlink" Id="rId87"/>
    <Relationship TargetMode="External" Target="https://www.legis.iowa.gov/docs/iac/chapter/199.2506.pdf" Type="http://schemas.openxmlformats.org/officeDocument/2006/relationships/hyperlink" Id="rId88"/>
    <Relationship TargetMode="External" Target="https://www.legis.iowa.gov/docs/iac/chapter/661.303.pdf" Type="http://schemas.openxmlformats.org/officeDocument/2006/relationships/hyperlink" Id="rId89"/>
    <Relationship TargetMode="External" Target="https://www.legis.iowa.gov/docs/iac/chapter/481.301.pdf" Type="http://schemas.openxmlformats.org/officeDocument/2006/relationships/hyperlink" Id="rId90"/>
    <Relationship TargetMode="External" Target="https://www.legis.iowa.gov/docs/iac/chapter/661.303.pdf" Type="http://schemas.openxmlformats.org/officeDocument/2006/relationships/hyperlink" Id="rId91"/>
    <Relationship TargetMode="External" Target="https://www.legis.iowa.gov/docs/iac/chapter/481.301.pdf" Type="http://schemas.openxmlformats.org/officeDocument/2006/relationships/hyperlink" Id="rId92"/>
    <Relationship TargetMode="External" Target="https://www.legis.iowa.gov/docs/iac/chapter/199.1.pdf" Type="http://schemas.openxmlformats.org/officeDocument/2006/relationships/hyperlink" Id="rId93"/>
    <Relationship TargetMode="External" Target="https://www.legis.iowa.gov/docs/iac/chapter/7.2505.pdf" Type="http://schemas.openxmlformats.org/officeDocument/2006/relationships/hyperlink" Id="rId94"/>
    <Relationship TargetMode="External" Target="https://www.legis.iowa.gov/docs/iac/chapter/199.2505.pdf" Type="http://schemas.openxmlformats.org/officeDocument/2006/relationships/hyperlink" Id="rId95"/>
    <Relationship TargetMode="External" Target="https://www.legis.iowa.gov/docs/iac/chapter/199.7.pdf" Type="http://schemas.openxmlformats.org/officeDocument/2006/relationships/hyperlink" Id="rId96"/>
    <Relationship TargetMode="External" Target="https://www.legis.iowa.gov/docs/iac/chapter/199.2506.pdf" Type="http://schemas.openxmlformats.org/officeDocument/2006/relationships/hyperlink" Id="rId97"/>
    <Relationship TargetMode="External" Target="https://www.legis.iowa.gov/docs/iac/chapter/199.7.pdf" Type="http://schemas.openxmlformats.org/officeDocument/2006/relationships/hyperlink" Id="rId98"/>
    <Relationship TargetMode="External" Target="https://www.legis.iowa.gov/docs/iac/chapter/199.2506.pdf" Type="http://schemas.openxmlformats.org/officeDocument/2006/relationships/hyperlink" Id="rId99"/>
    <Relationship TargetMode="External" Target="https://www.legis.iowa.gov/docs/iac/chapter/199.7.pdf" Type="http://schemas.openxmlformats.org/officeDocument/2006/relationships/hyperlink" Id="rId100"/>
    <Relationship TargetMode="External" Target="https://www.legis.iowa.gov/docs/iac/chapter/199.2506.pdf" Type="http://schemas.openxmlformats.org/officeDocument/2006/relationships/hyperlink" Id="rId101"/>
    <Relationship TargetMode="External" Target="https://www.legis.iowa.gov/docs/iac/chapter/199.1.pdf" Type="http://schemas.openxmlformats.org/officeDocument/2006/relationships/hyperlink" Id="rId102"/>
    <Relationship TargetMode="External" Target="https://www.legis.iowa.gov/docs/iac/rule/199.2505.5.pdf" Type="http://schemas.openxmlformats.org/officeDocument/2006/relationships/hyperlink" Id="rId103"/>
    <Relationship Target="footer.xml" Type="http://schemas.openxmlformats.org/officeDocument/2006/relationships/footer" Id="rId10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