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1D" w:id="1"/>
    <w:p>
      <w:pPr>
        <w:spacing w:before="0" w:after="0" w:line="480"/>
        <w:ind w:left="120"/>
        <w:jc w:val="right"/>
      </w:pPr>
      <w:r>
        <w:rPr>
          <w:rFonts w:ascii="Times New Roman" w:hAnsi="Times New Roman"/>
          <w:b/>
          <w:i w:val="false"/>
          <w:color w:val="000000"/>
          <w:sz w:val="28"/>
        </w:rPr>
        <w:t>ARC 0601D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Iowa scholarship for the arts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(Authority) hereby proposes to rescind Chapter 308, “Iowa Arts Council Scholarship for the Arts,” and to adopt a new Chapter 308, “Iowa Scholarship for the Arts,”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15.106A(1)“m” and 17A.7(3).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15.106A(1)“m” and 15.436.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308 and adopt a new chapter in lieu thereof. This proposed chapter describes the Iowa Scholarship for the Arts Program (program). The program provides scholarships for high school seniors enrolled in arts-related areas of study at Iowa colleges or universities.</w:t>
      </w:r>
    </w:p>
    <w:p>
      <w:pPr>
        <w:spacing w:before="0" w:after="0" w:line="480"/>
        <w:ind w:left="120"/>
        <w:jc w:val="both"/>
      </w:pPr>
      <w:r>
        <w:rPr>
          <w:rFonts w:ascii="Times New Roman" w:hAnsi="Times New Roman"/>
          <w:b w:val="false"/>
          <w:i w:val="false"/>
          <w:color w:val="000000"/>
          <w:sz w:val="24"/>
        </w:rPr>
        <w:t>    This proposed chapter implements consolidation of arts appropriations and programs in 2025 Iowa Acts, House File 975. The legislation authorized creation of an Arts and Culture Enhancement Fund that will be utilized for broad purposes related to the arts, including the program.</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October 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4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 xml:space="preserve"> 9 to 9:15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 Information about Teams participation can be found at </w:t>
            </w:r>
            <w:r>
              <w:br/>
            </w:r>
            <w:hyperlink r:id="rId5">
              <w:r>
                <w:rPr>
                  <w:rStyle w:val="Hyperlink"/>
                  <w:rFonts w:ascii="Times New Roman" w:hAnsi="Times New Roman"/>
                  <w:b w:val="false"/>
                  <w:i w:val="false"/>
                  <w:color w:val="0000ff"/>
                  <w:sz w:val="14"/>
                </w:rPr>
                <w:t>opportunityiowa.gov/about/iowa-economic-development-authority/ieda-red-tape-review</w:t>
              </w:r>
            </w:hyperlink>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8, 2026</w:t>
            </w:r>
            <w:r>
              <w:br/>
            </w:r>
            <w:r>
              <w:rPr>
                <w:rFonts w:ascii="Times New Roman" w:hAnsi="Times New Roman"/>
                <w:b w:val="false"/>
                <w:i w:val="false"/>
                <w:color w:val="000000"/>
                <w:sz w:val="14"/>
              </w:rPr>
              <w:t xml:space="preserve"> 3 to 3:15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Microsoft Teams</w:t>
            </w:r>
            <w:r>
              <w:br/>
            </w:r>
            <w:r>
              <w:rPr>
                <w:rFonts w:ascii="Times New Roman" w:hAnsi="Times New Roman"/>
                <w:b w:val="false"/>
                <w:i w:val="false"/>
                <w:color w:val="000000"/>
                <w:sz w:val="14"/>
              </w:rPr>
              <w:t xml:space="preserve"> Information about Teams participation can be found at </w:t>
            </w:r>
            <w:r>
              <w:br/>
            </w:r>
            <w:hyperlink r:id="rId6">
              <w:r>
                <w:rPr>
                  <w:rStyle w:val="Hyperlink"/>
                  <w:rFonts w:ascii="Times New Roman" w:hAnsi="Times New Roman"/>
                  <w:b w:val="false"/>
                  <w:i w:val="false"/>
                  <w:color w:val="0000ff"/>
                  <w:sz w:val="14"/>
                </w:rPr>
                <w:t>opportunityiowa.gov/about/iowa-economic-development-authority/ieda-red-tape-review</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308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308</w:t>
      </w:r>
    </w:p>
    <w:p>
      <w:pPr>
        <w:spacing w:before="0" w:after="0" w:line="480"/>
        <w:ind w:left="120"/>
        <w:jc w:val="center"/>
      </w:pPr>
      <w:r>
        <w:rPr>
          <w:rFonts w:ascii="Times New Roman" w:hAnsi="Times New Roman"/>
          <w:b w:val="false"/>
          <w:i w:val="false"/>
          <w:color w:val="000000"/>
          <w:sz w:val="21"/>
        </w:rPr>
        <w:t>IOWA SCHOLARSHIP FOR THE ARTS</w:t>
      </w:r>
    </w:p>
    <w:p>
      <w:pPr>
        <w:spacing w:before="210" w:after="0" w:line="480"/>
        <w:ind w:left="120"/>
        <w:jc w:val="both"/>
      </w:pPr>
      <w:r>
        <w:rPr>
          <w:rFonts w:ascii="Times New Roman" w:hAnsi="Times New Roman"/>
          <w:b/>
          <w:i w:val="false"/>
          <w:color w:val="000000"/>
          <w:sz w:val="24"/>
        </w:rPr>
        <w:t>261—308.1</w:t>
      </w:r>
      <w:r>
        <w:rPr>
          <w:rFonts w:ascii="Times New Roman" w:hAnsi="Times New Roman"/>
          <w:b/>
          <w:i w:val="false"/>
          <w:color w:val="000000"/>
          <w:sz w:val="24"/>
        </w:rPr>
        <w:t xml:space="preserve">(15) </w:t>
      </w:r>
      <w:r>
        <w:rPr>
          <w:rFonts w:ascii="Times New Roman" w:hAnsi="Times New Roman"/>
          <w:b/>
          <w:i w:val="false"/>
          <w:color w:val="000000"/>
          <w:sz w:val="24"/>
        </w:rPr>
        <w:t xml:space="preserve">Purpose. </w:t>
      </w:r>
      <w:r>
        <w:rPr>
          <w:rFonts w:ascii="Times New Roman" w:hAnsi="Times New Roman"/>
          <w:b w:val="false"/>
          <w:i w:val="false"/>
          <w:color w:val="000000"/>
          <w:sz w:val="24"/>
        </w:rPr>
        <w:t>The Iowa scholarship for the arts program (program) supports the development of outstanding high school seniors who excel in the arts and are enrolled in accredited educational programs leading to careers in the arts. A limited number of scholarships are awarded annually to selected students for undergraduate tuition and related expenses to attend an Iowa college or university.</w:t>
      </w:r>
    </w:p>
    <w:p>
      <w:pPr>
        <w:spacing w:before="210" w:after="0" w:line="480"/>
        <w:ind w:left="120"/>
        <w:jc w:val="both"/>
      </w:pPr>
      <w:r>
        <w:rPr>
          <w:rFonts w:ascii="Times New Roman" w:hAnsi="Times New Roman"/>
          <w:b/>
          <w:i w:val="false"/>
          <w:color w:val="000000"/>
          <w:sz w:val="24"/>
        </w:rPr>
        <w:t>261—308.2</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definitions listed in </w:t>
      </w:r>
      <w:hyperlink r:id="rId8">
        <w:r>
          <w:rPr>
            <w:rStyle w:val="Hyperlink"/>
            <w:rFonts w:ascii="Times New Roman" w:hAnsi="Times New Roman"/>
            <w:b w:val="false"/>
            <w:i w:val="false"/>
            <w:color w:val="000000"/>
            <w:sz w:val="24"/>
          </w:rPr>
          <w:t>261—Chapter 305</w:t>
        </w:r>
      </w:hyperlink>
      <w:r>
        <w:rPr>
          <w:rFonts w:ascii="Times New Roman" w:hAnsi="Times New Roman"/>
          <w:b w:val="false"/>
          <w:i w:val="false"/>
          <w:color w:val="000000"/>
          <w:sz w:val="24"/>
        </w:rPr>
        <w:t xml:space="preserve"> shall apply to terms as they are used throughout this chapter.</w:t>
      </w:r>
    </w:p>
    <w:p>
      <w:pPr>
        <w:spacing w:before="0" w:after="0" w:line="480"/>
        <w:ind w:left="120"/>
        <w:jc w:val="both"/>
      </w:pPr>
      <w:r>
        <w:rPr>
          <w:rFonts w:ascii="Times New Roman" w:hAnsi="Times New Roman"/>
          <w:b/>
          <w:i w:val="false"/>
          <w:color w:val="000000"/>
          <w:sz w:val="24"/>
        </w:rPr>
        <w:t>261—308.3</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w:t>
      </w:r>
      <w:r>
        <w:rPr>
          <w:rFonts w:ascii="Times New Roman" w:hAnsi="Times New Roman"/>
          <w:b w:val="false"/>
          <w:i w:val="false"/>
          <w:color w:val="000000"/>
          <w:sz w:val="24"/>
        </w:rPr>
        <w:t xml:space="preserve">Notwithstanding rule </w:t>
      </w:r>
      <w:hyperlink r:id="rId9">
        <w:r>
          <w:rPr>
            <w:rStyle w:val="Hyperlink"/>
            <w:rFonts w:ascii="Times New Roman" w:hAnsi="Times New Roman"/>
            <w:b w:val="false"/>
            <w:i w:val="false"/>
            <w:color w:val="000000"/>
            <w:sz w:val="24"/>
          </w:rPr>
          <w:t>261—305.4</w:t>
        </w:r>
      </w:hyperlink>
      <w:r>
        <w:rPr>
          <w:rFonts w:ascii="Times New Roman" w:hAnsi="Times New Roman"/>
          <w:b w:val="false"/>
          <w:i w:val="false"/>
          <w:color w:val="000000"/>
          <w:sz w:val="24"/>
        </w:rPr>
        <w:t>(15), eligibility for the program shall be determined solely in accordance with this chapter. Eligible applicants will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308.3(1)</w:t>
      </w:r>
      <w:r>
        <w:rPr>
          <w:rFonts w:ascii="Times New Roman" w:hAnsi="Times New Roman"/>
          <w:b w:val="false"/>
          <w:i w:val="false"/>
          <w:color w:val="000000"/>
          <w:sz w:val="24"/>
        </w:rPr>
        <w:t> </w:t>
      </w:r>
      <w:r>
        <w:rPr>
          <w:rFonts w:ascii="Times New Roman" w:hAnsi="Times New Roman"/>
          <w:b w:val="false"/>
          <w:i w:val="false"/>
          <w:color w:val="000000"/>
          <w:sz w:val="24"/>
        </w:rPr>
        <w:t>Be enrolled at the senior class level in an Iowa high school and display proven artistic ability in one or more of the following areas of study: music, dance, visual arts, theatre, folklife, or literature.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308.3(2)</w:t>
      </w:r>
      <w:r>
        <w:rPr>
          <w:rFonts w:ascii="Times New Roman" w:hAnsi="Times New Roman"/>
          <w:b w:val="false"/>
          <w:i w:val="false"/>
          <w:color w:val="000000"/>
          <w:sz w:val="24"/>
        </w:rPr>
        <w:t> </w:t>
      </w:r>
      <w:r>
        <w:rPr>
          <w:rFonts w:ascii="Times New Roman" w:hAnsi="Times New Roman"/>
          <w:b w:val="false"/>
          <w:i w:val="false"/>
          <w:color w:val="000000"/>
          <w:sz w:val="24"/>
        </w:rPr>
        <w:t>Be accepted as a full-time undergraduate student at a fully accredited Iowa college or university majoring in one or more of the following areas of study: music, dance, visual arts, theatre, folklife, or literature.</w:t>
      </w:r>
    </w:p>
    <w:p>
      <w:pPr>
        <w:spacing w:before="0" w:after="0" w:line="480"/>
        <w:ind w:left="120"/>
        <w:jc w:val="both"/>
      </w:pPr>
      <w:r>
        <w:rPr>
          <w:rFonts w:ascii="Times New Roman" w:hAnsi="Times New Roman"/>
          <w:b/>
          <w:i w:val="false"/>
          <w:color w:val="000000"/>
          <w:sz w:val="24"/>
        </w:rPr>
        <w:t>261—308.4</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 review and selection process. </w:t>
      </w:r>
      <w:r>
        <w:rPr>
          <w:rFonts w:ascii="Times New Roman" w:hAnsi="Times New Roman"/>
          <w:b w:val="false"/>
          <w:i w:val="false"/>
          <w:color w:val="000000"/>
          <w:sz w:val="24"/>
        </w:rPr>
        <w:t xml:space="preserve">The application, review, and selection process for the program is governed by this chapter and not by rule </w:t>
      </w:r>
      <w:hyperlink r:id="rId10">
        <w:r>
          <w:rPr>
            <w:rStyle w:val="Hyperlink"/>
            <w:rFonts w:ascii="Times New Roman" w:hAnsi="Times New Roman"/>
            <w:b w:val="false"/>
            <w:i w:val="false"/>
            <w:color w:val="000000"/>
            <w:sz w:val="24"/>
          </w:rPr>
          <w:t>261—305.5</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308.4(1)</w:t>
      </w:r>
      <w:r>
        <w:rPr>
          <w:rFonts w:ascii="Times New Roman" w:hAnsi="Times New Roman"/>
          <w:b w:val="false"/>
          <w:i w:val="false"/>
          <w:color w:val="000000"/>
          <w:sz w:val="24"/>
        </w:rPr>
        <w:t> </w:t>
      </w:r>
      <w:r>
        <w:rPr>
          <w:rFonts w:ascii="Times New Roman" w:hAnsi="Times New Roman"/>
          <w:b w:val="false"/>
          <w:i w:val="false"/>
          <w:color w:val="000000"/>
          <w:sz w:val="24"/>
        </w:rPr>
        <w:t>Applicants will be required to submit an application in the form and content prescribed by the authority. Applications will be reviewed by authority staff to confirm eligibility. Applications determined to be eligible will be forwarded to an advisory panel. The advisory panel will evaluate eligible applications in accordance with criteria established by the authority and identify and recommend finalists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308.4(2)</w:t>
      </w:r>
      <w:r>
        <w:rPr>
          <w:rFonts w:ascii="Times New Roman" w:hAnsi="Times New Roman"/>
          <w:b w:val="false"/>
          <w:i w:val="false"/>
          <w:color w:val="000000"/>
          <w:sz w:val="24"/>
        </w:rPr>
        <w:t> </w:t>
      </w:r>
      <w:r>
        <w:rPr>
          <w:rFonts w:ascii="Times New Roman" w:hAnsi="Times New Roman"/>
          <w:b w:val="false"/>
          <w:i w:val="false"/>
          <w:color w:val="000000"/>
          <w:sz w:val="24"/>
        </w:rPr>
        <w:t>Finalist applicants, at their own expense, will be required to attend an interview with an advisory panel.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308.4(3)</w:t>
      </w:r>
      <w:r>
        <w:rPr>
          <w:rFonts w:ascii="Times New Roman" w:hAnsi="Times New Roman"/>
          <w:b w:val="false"/>
          <w:i w:val="false"/>
          <w:color w:val="000000"/>
          <w:sz w:val="24"/>
        </w:rPr>
        <w:t> </w:t>
      </w:r>
      <w:r>
        <w:rPr>
          <w:rFonts w:ascii="Times New Roman" w:hAnsi="Times New Roman"/>
          <w:b w:val="false"/>
          <w:i w:val="false"/>
          <w:color w:val="000000"/>
          <w:sz w:val="24"/>
        </w:rPr>
        <w:t>Applications recommended by an advisory panel for funding consideration will be submitted to the director for consideration and approval. Recommendations by an advisory panel are advisory, and final funding authority rests with the director or the director’s designee.</w:t>
      </w:r>
    </w:p>
    <w:p>
      <w:pPr>
        <w:spacing w:before="210" w:after="0" w:line="480"/>
        <w:ind w:left="120"/>
        <w:jc w:val="both"/>
      </w:pPr>
      <w:r>
        <w:rPr>
          <w:rFonts w:ascii="Times New Roman" w:hAnsi="Times New Roman"/>
          <w:b/>
          <w:i w:val="false"/>
          <w:color w:val="000000"/>
          <w:sz w:val="24"/>
        </w:rPr>
        <w:t>261—308.5</w:t>
      </w:r>
      <w:r>
        <w:rPr>
          <w:rFonts w:ascii="Times New Roman" w:hAnsi="Times New Roman"/>
          <w:b/>
          <w:i w:val="false"/>
          <w:color w:val="000000"/>
          <w:sz w:val="24"/>
        </w:rPr>
        <w:t xml:space="preserve">(15) </w:t>
      </w:r>
      <w:r>
        <w:rPr>
          <w:rFonts w:ascii="Times New Roman" w:hAnsi="Times New Roman"/>
          <w:b/>
          <w:i w:val="false"/>
          <w:color w:val="000000"/>
          <w:sz w:val="24"/>
        </w:rPr>
        <w:t xml:space="preserve">Disbursement. </w:t>
      </w:r>
      <w:r>
        <w:rPr>
          <w:rFonts w:ascii="Times New Roman" w:hAnsi="Times New Roman"/>
          <w:b w:val="false"/>
          <w:i w:val="false"/>
          <w:color w:val="000000"/>
          <w:sz w:val="24"/>
        </w:rPr>
        <w:t>Recipients will be required to confirm enrollment at an Iowa college or university prior to disbursement of scholarship funds. Disbursement will be made directly to the recipient’s Iowa college or university.</w:t>
      </w:r>
    </w:p>
    <w:p>
      <w:pPr>
        <w:spacing w:before="210" w:after="0" w:line="480"/>
        <w:ind w:left="120"/>
        <w:jc w:val="both"/>
      </w:pPr>
      <w:r>
        <w:rPr>
          <w:rFonts w:ascii="Times New Roman" w:hAnsi="Times New Roman"/>
          <w:b/>
          <w:i w:val="false"/>
          <w:color w:val="000000"/>
          <w:sz w:val="24"/>
        </w:rPr>
        <w:t>261—308.6</w:t>
      </w:r>
      <w:r>
        <w:rPr>
          <w:rFonts w:ascii="Times New Roman" w:hAnsi="Times New Roman"/>
          <w:b/>
          <w:i w:val="false"/>
          <w:color w:val="000000"/>
          <w:sz w:val="24"/>
        </w:rPr>
        <w:t xml:space="preserve">(15) </w:t>
      </w:r>
      <w:r>
        <w:rPr>
          <w:rFonts w:ascii="Times New Roman" w:hAnsi="Times New Roman"/>
          <w:b/>
          <w:i w:val="false"/>
          <w:color w:val="000000"/>
          <w:sz w:val="24"/>
        </w:rPr>
        <w:t xml:space="preserve">Obligation of recipients. </w:t>
      </w:r>
      <w:r>
        <w:rPr>
          <w:rFonts w:ascii="Times New Roman" w:hAnsi="Times New Roman"/>
          <w:b w:val="false"/>
          <w:i w:val="false"/>
          <w:color w:val="000000"/>
          <w:sz w:val="24"/>
        </w:rPr>
        <w:t>Recipients shall inform the authority of any change in address or school enrollment.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1">
        <w:r>
          <w:rPr>
            <w:rStyle w:val="Hyperlink"/>
            <w:rFonts w:ascii="Times New Roman" w:hAnsi="Times New Roman"/>
            <w:b w:val="false"/>
            <w:i w:val="false"/>
            <w:color w:val="000000"/>
            <w:sz w:val="24"/>
          </w:rPr>
          <w:t>15.436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chapter/261.305.pdf" Type="http://schemas.openxmlformats.org/officeDocument/2006/relationships/hyperlink" Id="rId8"/>
    <Relationship TargetMode="External" Target="https://www.legis.iowa.gov/docs/iac/rule/261.305.4.pdf" Type="http://schemas.openxmlformats.org/officeDocument/2006/relationships/hyperlink" Id="rId9"/>
    <Relationship TargetMode="External" Target="https://www.legis.iowa.gov/docs/iac/rule/261.305.5.pdf" Type="http://schemas.openxmlformats.org/officeDocument/2006/relationships/hyperlink" Id="rId10"/>
    <Relationship TargetMode="External" Target="https://www.legis.iowa.gov/docs/ico/chapter/15.436.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