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97D" w:id="1"/>
    <w:p>
      <w:pPr>
        <w:spacing w:before="0" w:after="0" w:line="480"/>
        <w:ind w:left="120"/>
        <w:jc w:val="right"/>
      </w:pPr>
      <w:r>
        <w:rPr>
          <w:rFonts w:ascii="Times New Roman" w:hAnsi="Times New Roman"/>
          <w:b/>
          <w:i w:val="false"/>
          <w:color w:val="000000"/>
          <w:sz w:val="28"/>
        </w:rPr>
        <w:t>ARC 0597D</w:t>
      </w:r>
    </w:p>
    <w:bookmarkEnd w:id="1"/>
    <w:p>
      <w:pPr>
        <w:pBdr>
          <w:top w:space="5"/>
        </w:pBdr>
        <w:spacing w:before="0" w:after="0" w:line="480"/>
        <w:ind w:left="120"/>
        <w:jc w:val="center"/>
      </w:pPr>
      <w:r>
        <w:rPr>
          <w:rFonts w:ascii="Times New Roman" w:hAnsi="Times New Roman"/>
          <w:b/>
          <w:i w:val="false"/>
          <w:color w:val="000000"/>
          <w:sz w:val="28"/>
        </w:rPr>
        <w:t>PUBLIC HEALTH DEPARTMENT[641]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emergency medical services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amends Chapter 131, “Emergency Medical Services—Providers—Initial Certification—Renewal and Reactivation—Authority—Complaints and Investigations,”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chapters 147A and 147D and section 272C.4.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147A and 147D and section 272C.4.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updates and streamlines Iowa’s certification, renewal, and continuing education requirements for Iowa emergency medical services (EMS) workers. Key changes include modernizing the continuing education hours (CEHs) structure, reactivation pathways, and background check process, as well as an updated scope of practice. These proposed amendments will help ensure compliance with national EMS standards, reduce administrative complexity, and reinforce consistent statewide practice expectations. Adoption of updated rules will support a more competent and better-prepared EMS workforce.</w:t>
      </w:r>
    </w:p>
    <w:p>
      <w:pPr>
        <w:spacing w:before="0" w:after="0" w:line="480"/>
        <w:ind w:left="120"/>
        <w:jc w:val="both"/>
      </w:pPr>
      <w:r>
        <w:rPr>
          <w:rFonts w:ascii="Times New Roman" w:hAnsi="Times New Roman"/>
          <w:b w:val="false"/>
          <w:i w:val="false"/>
          <w:color w:val="000000"/>
          <w:sz w:val="24"/>
        </w:rPr>
        <w:t>    Specifically, this rulemaking: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Modernizes the continuing education structure by adding pediatric CEH requirements and allowing half-hour CEHs.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the background check process by reflecting the use of digital fingerprints and removing the outdated card-based system.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references to the Iowa Emergency Medical Care Provider Scope of Practice for EMS workers to the most current version.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Restructures reactivation pathways, eliminating the 25- to 48-month reactivation option and redirecting impacted individuals to the National Registry of Emergency Medical Technicians (NREMT) knowledge assessment for reactivation.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the fee for returned payments from $15 to $40 to align with the ongoing Department of Inspections, Appeals, and Licensing (DIAL) alignment initiative.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the continuing education audit documentation deadlines from 45 days to 30 days to align with the ongoing DIAL alignment initiative.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language pertaining to certification denial or sanctions based upon feedback received from an administrative law judge regarding fraud.</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July 8, 2026, as </w:t>
      </w:r>
      <w:r>
        <w:rPr>
          <w:rFonts w:ascii="Times New Roman" w:hAnsi="Times New Roman"/>
          <w:b/>
          <w:i w:val="false"/>
          <w:color w:val="000000"/>
          <w:sz w:val="24"/>
        </w:rPr>
        <w:t>ARC 0411D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spacing w:before="0" w:after="0" w:line="480"/>
        <w:ind w:left="120"/>
        <w:jc w:val="both"/>
      </w:pPr>
      <w:r>
        <w:rPr>
          <w:rFonts w:ascii="Times New Roman" w:hAnsi="Times New Roman"/>
          <w:b w:val="false"/>
          <w:i w:val="false"/>
          <w:color w:val="000000"/>
          <w:sz w:val="24"/>
        </w:rPr>
        <w:t>    No one attended the public hearing. Public comment was received in support of the rulemaking from the Cedar County EMS Chief.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August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Although the returned check fee is increasing from $15 to $40, in calendar year 2025, there were no returned checks. As such, the Department does not expect a fiscal impact from this change.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November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641—131.1(147A,147D,272C)</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“CEH” and </w:t>
      </w:r>
      <w:r>
        <w:rPr>
          <w:rFonts w:ascii="Times New Roman" w:hAnsi="Times New Roman"/>
          <w:b w:val="false"/>
          <w:i w:val="false"/>
          <w:color w:val="000000"/>
          <w:sz w:val="24"/>
        </w:rPr>
        <w:t>“Core continuing education,”</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“CEH”</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continuing education hour, which is based upon </w:t>
      </w:r>
      <w:r>
        <w:rPr>
          <w:rFonts w:ascii="Times New Roman" w:hAnsi="Times New Roman"/>
          <w:b w:val="false"/>
          <w:i w:val="false"/>
          <w:strike/>
          <w:color w:val="000000"/>
          <w:sz w:val="24"/>
        </w:rPr>
        <w:t>a minimum of</w:t>
      </w:r>
      <w:r>
        <w:rPr>
          <w:rFonts w:ascii="Times New Roman" w:hAnsi="Times New Roman"/>
          <w:b w:val="false"/>
          <w:i w:val="false"/>
          <w:color w:val="000000"/>
          <w:sz w:val="24"/>
        </w:rPr>
        <w:t xml:space="preserve"> 50 minutes of training per hour.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Fifty minutes equals one CEH, and 30 minutes equals one-half CEH.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“Core continuing education”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education obtained during a certification period to renew certification. Core continuing education will have an assigned sponsor number from CAPCE, an authorized EMS training program, </w:t>
      </w:r>
      <w:r>
        <w:rPr>
          <w:rFonts w:ascii="Times New Roman" w:hAnsi="Times New Roman"/>
          <w:b w:val="false"/>
          <w:i w:val="false"/>
          <w:strike/>
          <w:color w:val="000000"/>
          <w:sz w:val="24"/>
        </w:rPr>
        <w:t>the board of nursing, the board of medicine</w:t>
      </w:r>
      <w:r>
        <w:rPr>
          <w:rFonts w:ascii="Times New Roman" w:hAnsi="Times New Roman"/>
          <w:b w:val="false"/>
          <w:i w:val="false"/>
          <w:color w:val="000000"/>
          <w:sz w:val="24"/>
        </w:rPr>
        <w:t xml:space="preserve"> or the department.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131.2(1)</w:t>
      </w:r>
      <w:r>
        <w:rPr>
          <w:rFonts w:ascii="Times New Roman" w:hAnsi="Times New Roman"/>
          <w:b w:val="false"/>
          <w:i w:val="false"/>
          <w:color w:val="000000"/>
          <w:sz w:val="24"/>
        </w:rPr>
        <w:t> </w:t>
      </w:r>
      <w:r>
        <w:rPr>
          <w:rFonts w:ascii="Times New Roman" w:hAnsi="Times New Roman"/>
          <w:b w:val="false"/>
          <w:i w:val="false"/>
          <w:color w:val="000000"/>
          <w:sz w:val="24"/>
        </w:rPr>
        <w:t>An individual who has successfully completed the training program requirements at the EMR, EMT, AEMT or paramedic level and has a valid certification with NREMT shall submit the following to the department for initial Iowa emergency medical care provider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completed EMS certification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NREMT active certification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of the initial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strike/>
          <w:color w:val="000000"/>
          <w:sz w:val="24"/>
        </w:rPr>
        <w:t>Two completed fingerprint cards for background checks.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completed background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e.</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Payment of the background check fee.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131.4(2)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131.4(2)</w:t>
      </w:r>
      <w:r>
        <w:rPr>
          <w:rFonts w:ascii="Times New Roman" w:hAnsi="Times New Roman"/>
          <w:b w:val="false"/>
          <w:i w:val="false"/>
          <w:color w:val="000000"/>
          <w:sz w:val="24"/>
        </w:rPr>
        <w:t> </w:t>
      </w:r>
      <w:r>
        <w:rPr>
          <w:rFonts w:ascii="Times New Roman" w:hAnsi="Times New Roman"/>
          <w:b w:val="false"/>
          <w:i/>
          <w:color w:val="000000"/>
          <w:sz w:val="24"/>
        </w:rPr>
        <w:t xml:space="preserve">Scope of practice.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Iowa Emergency Medical Care Provider Scope of Practice </w:t>
      </w:r>
      <w:r>
        <w:rPr>
          <w:rFonts w:ascii="Times New Roman" w:hAnsi="Times New Roman"/>
          <w:b w:val="false"/>
          <w:i w:val="false"/>
          <w:strike/>
          <w:color w:val="000000"/>
          <w:sz w:val="24"/>
        </w:rPr>
        <w:t>(September 2019)</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amended to September 1, 2026,</w:t>
      </w:r>
      <w:r>
        <w:rPr>
          <w:rFonts w:ascii="Times New Roman" w:hAnsi="Times New Roman"/>
          <w:b w:val="false"/>
          <w:i w:val="false"/>
          <w:color w:val="000000"/>
          <w:sz w:val="24"/>
        </w:rPr>
        <w:t xml:space="preserve"> is hereby incorporated and adopted by reference for emergency medical care providers. For any differences that may occur between the scope of practice adopted by reference and these rules, the rules prevail.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Iowa Emergency Medical Care Provider Scope of Practice as amended to September 1, 2026, is available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The Iowa Emergency Medical Care Provider Scope of Practice (September 2019) is available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d.</w:t>
      </w:r>
      <w:r>
        <w:rPr>
          <w:rFonts w:ascii="Times New Roman" w:hAnsi="Times New Roman"/>
          <w:b w:val="false"/>
          <w:i w:val="false"/>
          <w:color w:val="000000"/>
          <w:sz w:val="24"/>
        </w:rPr>
        <w:t xml:space="preserve"> </w:t>
      </w:r>
      <w:r>
        <w:rPr>
          <w:rFonts w:ascii="Times New Roman" w:hAnsi="Times New Roman"/>
          <w:b w:val="false"/>
          <w:i/>
          <w:color w:val="000000"/>
          <w:sz w:val="24"/>
          <w:u w:val="single"/>
        </w:rPr>
        <w:t>c.</w:t>
      </w:r>
      <w:r>
        <w:rPr>
          <w:rFonts w:ascii="Times New Roman" w:hAnsi="Times New Roman"/>
          <w:b w:val="false"/>
          <w:i w:val="false"/>
          <w:color w:val="000000"/>
          <w:sz w:val="24"/>
        </w:rPr>
        <w:t xml:space="preserve">The department may grant a waiver for changes to the scope of practice that have not yet been adopted by reference in these rules pursuant to </w:t>
      </w:r>
      <w:hyperlink r:id="rId5">
        <w:r>
          <w:rPr>
            <w:rStyle w:val="Hyperlink"/>
            <w:rFonts w:ascii="Times New Roman" w:hAnsi="Times New Roman"/>
            <w:b w:val="false"/>
            <w:i w:val="false"/>
            <w:color w:val="000000"/>
            <w:sz w:val="24"/>
          </w:rPr>
          <w:t>441—Chapter 2504</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131.5(4)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131.5(4)</w:t>
      </w:r>
      <w:r>
        <w:rPr>
          <w:rFonts w:ascii="Times New Roman" w:hAnsi="Times New Roman"/>
          <w:b w:val="false"/>
          <w:i w:val="false"/>
          <w:color w:val="000000"/>
          <w:sz w:val="24"/>
        </w:rPr>
        <w:t> </w:t>
      </w:r>
      <w:r>
        <w:rPr>
          <w:rFonts w:ascii="Times New Roman" w:hAnsi="Times New Roman"/>
          <w:b w:val="false"/>
          <w:i/>
          <w:color w:val="000000"/>
          <w:sz w:val="24"/>
        </w:rPr>
        <w:t xml:space="preserve">Reactivation of an inactive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Certification inactive up to 24 months. </w:t>
      </w:r>
      <w:r>
        <w:rPr>
          <w:rFonts w:ascii="Times New Roman" w:hAnsi="Times New Roman"/>
          <w:b w:val="false"/>
          <w:i w:val="false"/>
          <w:color w:val="000000"/>
          <w:sz w:val="24"/>
        </w:rPr>
        <w:t>An emergency medical care provider may apply to reactivate an inactive certification up to 24 months after the certification became inactive.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department approves the application, the individual must submit </w:t>
      </w:r>
      <w:r>
        <w:rPr>
          <w:rFonts w:ascii="Times New Roman" w:hAnsi="Times New Roman"/>
          <w:b w:val="false"/>
          <w:i w:val="false"/>
          <w:strike/>
          <w:color w:val="000000"/>
          <w:sz w:val="24"/>
        </w:rPr>
        <w:t>an audit report form with 36</w:t>
      </w:r>
      <w:r>
        <w:rPr>
          <w:rFonts w:ascii="Times New Roman" w:hAnsi="Times New Roman"/>
          <w:b w:val="false"/>
          <w:i w:val="false"/>
          <w:color w:val="000000"/>
          <w:sz w:val="24"/>
        </w:rPr>
        <w:t xml:space="preserve"> core continuing education hours </w:t>
      </w:r>
      <w:r>
        <w:rPr>
          <w:rFonts w:ascii="Times New Roman" w:hAnsi="Times New Roman"/>
          <w:b w:val="false"/>
          <w:i w:val="false"/>
          <w:strike/>
          <w:color w:val="000000"/>
          <w:sz w:val="24"/>
        </w:rPr>
        <w:t>prorated per lapsed year by core topic area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based upon the table in paragraph </w:t>
      </w:r>
      <w:hyperlink r:id="rId6">
        <w:r>
          <w:rPr>
            <w:rStyle w:val="Hyperlink"/>
            <w:rFonts w:ascii="Times New Roman" w:hAnsi="Times New Roman"/>
            <w:b w:val="false"/>
            <w:i w:val="false"/>
            <w:color w:val="000000"/>
            <w:sz w:val="24"/>
            <w:u w:val="single"/>
          </w:rPr>
          <w:t>131.5(7)</w:t>
        </w:r>
      </w:hyperlink>
      <w:r>
        <w:rPr>
          <w:rFonts w:ascii="Times New Roman" w:hAnsi="Times New Roman"/>
          <w:b w:val="false"/>
          <w:i/>
          <w:color w:val="000000"/>
          <w:sz w:val="24"/>
          <w:u w:val="single"/>
        </w:rPr>
        <w:t>“a”</w:t>
      </w:r>
      <w:r>
        <w:rPr>
          <w:rFonts w:ascii="Times New Roman" w:hAnsi="Times New Roman"/>
          <w:b w:val="false"/>
          <w:i w:val="false"/>
          <w:color w:val="000000"/>
          <w:sz w:val="24"/>
          <w:u w:val="single"/>
        </w:rPr>
        <w:t xml:space="preserve"> for the level of EMS certification requested for reactivation, a completed background check,</w:t>
      </w:r>
      <w:r>
        <w:rPr>
          <w:rFonts w:ascii="Times New Roman" w:hAnsi="Times New Roman"/>
          <w:b w:val="false"/>
          <w:i w:val="false"/>
          <w:color w:val="000000"/>
          <w:sz w:val="24"/>
        </w:rPr>
        <w:t xml:space="preserve"> and the reactivation fee.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core CEHs and the background check shall be completed after the department receives and approves the reactivation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 emergency medical care provider who fails to complete the reactivation process within 12 months from the date of application </w:t>
      </w:r>
      <w:r>
        <w:rPr>
          <w:rFonts w:ascii="Times New Roman" w:hAnsi="Times New Roman"/>
          <w:b w:val="false"/>
          <w:i w:val="false"/>
          <w:strike/>
          <w:color w:val="000000"/>
          <w:sz w:val="24"/>
        </w:rPr>
        <w:t>approval must reapply for reactivation of the inactive certification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will not be eligible for reactivation</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strike/>
          <w:color w:val="000000"/>
          <w:sz w:val="24"/>
        </w:rPr>
        <w:t xml:space="preserve">Certification inactive from 25 months to 48 months. </w:t>
      </w:r>
      <w:r>
        <w:rPr>
          <w:rFonts w:ascii="Times New Roman" w:hAnsi="Times New Roman"/>
          <w:b w:val="false"/>
          <w:i w:val="false"/>
          <w:strike/>
          <w:color w:val="000000"/>
          <w:sz w:val="24"/>
        </w:rPr>
        <w:t>An emergency medical care provider  may apply to reactivate an inactive certification that has been inactive for 25 months but no more than 48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An individual will submit to the department an EMS certification reactivation application, which is available from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If the department approves the application, the individual must submit documentation of successful completion of an approved EMS refresher course that includes successful completion of department or NREMT testing requirements. In addition, the individual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Complete fingerprint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Submit reactivation and background check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3.</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Upon receipt and approval of the items required in subparagraphs </w:t>
      </w:r>
      <w:hyperlink r:id="rId7">
        <w:r>
          <w:rPr>
            <w:rStyle w:val="Hyperlink"/>
            <w:rFonts w:ascii="Times New Roman" w:hAnsi="Times New Roman"/>
            <w:b w:val="false"/>
            <w:i w:val="false"/>
            <w:strike/>
            <w:color w:val="000000"/>
            <w:sz w:val="24"/>
          </w:rPr>
          <w:t>131.5(4)</w:t>
        </w:r>
        <w:r>
          <w:rPr>
            <w:rFonts w:ascii="Times New Roman" w:hAnsi="Times New Roman"/>
            <w:b w:val="false"/>
            <w:i/>
            <w:strike/>
            <w:color w:val="000000"/>
            <w:sz w:val="24"/>
          </w:rPr>
          <w:t>“b”</w:t>
        </w:r>
        <w:r>
          <w:rPr>
            <w:rFonts w:ascii="Times New Roman" w:hAnsi="Times New Roman"/>
            <w:b w:val="false"/>
            <w:i w:val="false"/>
            <w:strike/>
            <w:color w:val="000000"/>
            <w:sz w:val="24"/>
          </w:rPr>
          <w:t>(1)</w:t>
        </w:r>
      </w:hyperlink>
      <w:r>
        <w:rPr>
          <w:rFonts w:ascii="Times New Roman" w:hAnsi="Times New Roman"/>
          <w:b w:val="false"/>
          <w:i w:val="false"/>
          <w:strike/>
          <w:color w:val="000000"/>
          <w:sz w:val="24"/>
        </w:rPr>
        <w:t xml:space="preserve"> and </w:t>
      </w:r>
      <w:r>
        <w:rPr>
          <w:rFonts w:ascii="Times New Roman" w:hAnsi="Times New Roman"/>
          <w:b w:val="false"/>
          <w:i w:val="false"/>
          <w:strike/>
          <w:color w:val="000000"/>
          <w:sz w:val="24"/>
        </w:rPr>
        <w:t>(2)</w:t>
      </w:r>
      <w:r>
        <w:rPr>
          <w:rFonts w:ascii="Times New Roman" w:hAnsi="Times New Roman"/>
          <w:b w:val="false"/>
          <w:i w:val="false"/>
          <w:strike/>
          <w:color w:val="000000"/>
          <w:sz w:val="24"/>
        </w:rPr>
        <w:t>, the department may issue a new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4.</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An emergency medical care provider who fails to complete the reactivation process within 12 months from the date of application approval must reapply for reactivation of the inactive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xml:space="preserve"> </w:t>
      </w:r>
      <w:r>
        <w:rPr>
          <w:rFonts w:ascii="Times New Roman" w:hAnsi="Times New Roman"/>
          <w:b w:val="false"/>
          <w:i/>
          <w:color w:val="000000"/>
          <w:sz w:val="24"/>
          <w:u w:val="single"/>
        </w:rPr>
        <w:t>b.</w:t>
      </w:r>
      <w:r>
        <w:rPr>
          <w:rFonts w:ascii="Times New Roman" w:hAnsi="Times New Roman"/>
          <w:b w:val="false"/>
          <w:i/>
          <w:color w:val="000000"/>
          <w:sz w:val="24"/>
        </w:rPr>
        <w:t xml:space="preserve">Certification inactive for more than </w:t>
      </w:r>
      <w:r>
        <w:rPr>
          <w:rFonts w:ascii="Times New Roman" w:hAnsi="Times New Roman"/>
          <w:b w:val="false"/>
          <w:i/>
          <w:strike/>
          <w:color w:val="000000"/>
          <w:sz w:val="24"/>
        </w:rPr>
        <w:t>48</w:t>
      </w:r>
      <w:r>
        <w:rPr>
          <w:rFonts w:ascii="Times New Roman" w:hAnsi="Times New Roman"/>
          <w:b w:val="false"/>
          <w:i/>
          <w:color w:val="000000"/>
          <w:sz w:val="24"/>
          <w:u w:val="single"/>
        </w:rPr>
        <w:t> </w:t>
      </w:r>
      <w:r>
        <w:rPr>
          <w:rFonts w:ascii="Times New Roman" w:hAnsi="Times New Roman"/>
          <w:b w:val="false"/>
          <w:i/>
          <w:color w:val="000000"/>
          <w:sz w:val="24"/>
          <w:u w:val="single"/>
        </w:rPr>
        <w:t>24</w:t>
      </w:r>
      <w:r>
        <w:rPr>
          <w:rFonts w:ascii="Times New Roman" w:hAnsi="Times New Roman"/>
          <w:b w:val="false"/>
          <w:i/>
          <w:color w:val="000000"/>
          <w:sz w:val="24"/>
        </w:rPr>
        <w:t xml:space="preserve"> months. </w:t>
      </w:r>
      <w:r>
        <w:rPr>
          <w:rFonts w:ascii="Times New Roman" w:hAnsi="Times New Roman"/>
          <w:b w:val="false"/>
          <w:i w:val="false"/>
          <w:color w:val="000000"/>
          <w:sz w:val="24"/>
        </w:rPr>
        <w:t xml:space="preserve">An emergency medical care provider </w:t>
      </w:r>
      <w:r>
        <w:rPr>
          <w:rFonts w:ascii="Times New Roman" w:hAnsi="Times New Roman"/>
          <w:b w:val="false"/>
          <w:i w:val="false"/>
          <w:strike/>
          <w:color w:val="000000"/>
          <w:sz w:val="24"/>
        </w:rPr>
        <w:t>may not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cannot</w:t>
      </w:r>
      <w:r>
        <w:rPr>
          <w:rFonts w:ascii="Times New Roman" w:hAnsi="Times New Roman"/>
          <w:b w:val="false"/>
          <w:i w:val="false"/>
          <w:color w:val="000000"/>
          <w:sz w:val="24"/>
        </w:rPr>
        <w:t xml:space="preserve"> apply to reactivate a certification that has been inactive for more than </w:t>
      </w:r>
      <w:r>
        <w:rPr>
          <w:rFonts w:ascii="Times New Roman" w:hAnsi="Times New Roman"/>
          <w:b w:val="false"/>
          <w:i w:val="false"/>
          <w:strike/>
          <w:color w:val="000000"/>
          <w:sz w:val="24"/>
        </w:rPr>
        <w:t>48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24</w:t>
      </w:r>
      <w:r>
        <w:rPr>
          <w:rFonts w:ascii="Times New Roman" w:hAnsi="Times New Roman"/>
          <w:b w:val="false"/>
          <w:i w:val="false"/>
          <w:color w:val="000000"/>
          <w:sz w:val="24"/>
        </w:rPr>
        <w:t xml:space="preserve"> months.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 emergency medical care provider who has been inactive for more than 24 months may complete the NREMT reentry requirements and apply for certification in accordance with subrule </w:t>
      </w:r>
      <w:hyperlink r:id="rId8">
        <w:r>
          <w:rPr>
            <w:rStyle w:val="Hyperlink"/>
            <w:rFonts w:ascii="Times New Roman" w:hAnsi="Times New Roman"/>
            <w:b w:val="false"/>
            <w:i w:val="false"/>
            <w:color w:val="000000"/>
            <w:sz w:val="24"/>
            <w:u w:val="single"/>
          </w:rPr>
          <w:t>131.2(1)</w:t>
        </w:r>
      </w:hyperlink>
      <w:r>
        <w:rPr>
          <w:rFonts w:ascii="Times New Roman" w:hAnsi="Times New Roman"/>
          <w:b w:val="false"/>
          <w:i w:val="false"/>
          <w:color w:val="000000"/>
          <w:sz w:val="24"/>
          <w:u w:val="single"/>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131.5(6)</w:t>
      </w:r>
      <w:r>
        <w:rPr>
          <w:rFonts w:ascii="Times New Roman" w:hAnsi="Times New Roman"/>
          <w:b w:val="false"/>
          <w:i w:val="false"/>
          <w:color w:val="000000"/>
          <w:sz w:val="24"/>
        </w:rPr>
        <w:t> </w:t>
      </w:r>
      <w:r>
        <w:rPr>
          <w:rFonts w:ascii="Times New Roman" w:hAnsi="Times New Roman"/>
          <w:b w:val="false"/>
          <w:i/>
          <w:color w:val="000000"/>
          <w:sz w:val="24"/>
        </w:rPr>
        <w:t xml:space="preserve">Fees. </w:t>
      </w:r>
      <w:r>
        <w:rPr>
          <w:rFonts w:ascii="Times New Roman" w:hAnsi="Times New Roman"/>
          <w:b w:val="false"/>
          <w:i w:val="false"/>
          <w:color w:val="000000"/>
          <w:sz w:val="24"/>
        </w:rPr>
        <w:t>The nonrefundable fees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Returned payment due to insufficient funds: </w:t>
      </w:r>
      <w:r>
        <w:rPr>
          <w:rFonts w:ascii="Times New Roman" w:hAnsi="Times New Roman"/>
          <w:b w:val="false"/>
          <w:i w:val="false"/>
          <w:strike/>
          <w:color w:val="000000"/>
          <w:sz w:val="24"/>
        </w:rPr>
        <w:t>$15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131.5(7)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131.5(7)</w:t>
      </w:r>
      <w:r>
        <w:rPr>
          <w:rFonts w:ascii="Times New Roman" w:hAnsi="Times New Roman"/>
          <w:b w:val="false"/>
          <w:i w:val="false"/>
          <w:color w:val="000000"/>
          <w:sz w:val="24"/>
        </w:rPr>
        <w:t> </w:t>
      </w:r>
      <w:r>
        <w:rPr>
          <w:rFonts w:ascii="Times New Roman" w:hAnsi="Times New Roman"/>
          <w:b w:val="false"/>
          <w:i/>
          <w:color w:val="000000"/>
          <w:sz w:val="24"/>
        </w:rPr>
        <w:t xml:space="preserve">Continuing education renewal. </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table below illustrates the minimum number of core </w:t>
      </w:r>
      <w:r>
        <w:rPr>
          <w:rFonts w:ascii="Times New Roman" w:hAnsi="Times New Roman"/>
          <w:b w:val="false"/>
          <w:i w:val="false"/>
          <w:strike/>
          <w:color w:val="000000"/>
          <w:sz w:val="24"/>
        </w:rPr>
        <w:t>continuing education hours (</w:t>
      </w:r>
      <w:r>
        <w:rPr>
          <w:rFonts w:ascii="Times New Roman" w:hAnsi="Times New Roman"/>
          <w:b w:val="false"/>
          <w:i w:val="false"/>
          <w:color w:val="000000"/>
          <w:sz w:val="24"/>
        </w:rPr>
        <w:t>CEHs</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by topic area for each level of emergency medical care provider to renew an Iowa EMS certification.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23"/>
        <w:gridCol w:w="1433"/>
        <w:gridCol w:w="1432"/>
        <w:gridCol w:w="1432"/>
        <w:gridCol w:w="1432"/>
      </w:tblGrid>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Core Topics</w:t>
            </w:r>
          </w:p>
        </w:tc>
        <w:tc>
          <w:tcPr>
            <w:tcW w:w="14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EMR/FR</w:t>
            </w:r>
          </w:p>
        </w:tc>
        <w:tc>
          <w:tcPr>
            <w:tcW w:w="143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EMT/EMT-D</w:t>
            </w:r>
          </w:p>
        </w:tc>
        <w:tc>
          <w:tcPr>
            <w:tcW w:w="143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AEMT</w:t>
            </w:r>
          </w:p>
        </w:tc>
        <w:tc>
          <w:tcPr>
            <w:tcW w:w="143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PM</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Airway, Respirations, Ventilations</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1</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1.5</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1</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4</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2</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5</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6</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Cardiology</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6</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5</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7</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6</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9</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7</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Trauma</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2</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3</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4</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5</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Medical</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2.5</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8</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7</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9</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8</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Operations</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5</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2</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5</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3</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6</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4</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Pediatric</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1</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2</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3</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4</w:t>
            </w:r>
          </w:p>
        </w:tc>
      </w:tr>
      <w:tr>
        <w:trPr>
          <w:trHeight w:val="195" w:hRule="atLeast"/>
        </w:trPr>
        <w:tc>
          <w:tcPr>
            <w:tcW w:w="3223"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Totals</w:t>
            </w:r>
          </w:p>
        </w:tc>
        <w:tc>
          <w:tcPr>
            <w:tcW w:w="1433"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strike/>
                <w:color w:val="000000"/>
                <w:sz w:val="14"/>
              </w:rPr>
              <w:t>8</w:t>
            </w:r>
            <w:r>
              <w:rPr>
                <w:rFonts w:ascii="Times New Roman" w:hAnsi="Times New Roman"/>
                <w:b/>
                <w:i w:val="false"/>
                <w:color w:val="000000"/>
                <w:sz w:val="14"/>
                <w:u w:val="single"/>
              </w:rPr>
              <w:t> </w:t>
            </w:r>
            <w:r>
              <w:rPr>
                <w:rFonts w:ascii="Times New Roman" w:hAnsi="Times New Roman"/>
                <w:b/>
                <w:i w:val="false"/>
                <w:color w:val="000000"/>
                <w:sz w:val="14"/>
                <w:u w:val="single"/>
              </w:rPr>
              <w:t>9</w:t>
            </w:r>
          </w:p>
        </w:tc>
        <w:tc>
          <w:tcPr>
            <w:tcW w:w="1432"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strike/>
                <w:color w:val="000000"/>
                <w:sz w:val="14"/>
              </w:rPr>
              <w:t>20</w:t>
            </w:r>
            <w:r>
              <w:rPr>
                <w:rFonts w:ascii="Times New Roman" w:hAnsi="Times New Roman"/>
                <w:b/>
                <w:i w:val="false"/>
                <w:color w:val="000000"/>
                <w:sz w:val="14"/>
                <w:u w:val="single"/>
              </w:rPr>
              <w:t> </w:t>
            </w:r>
            <w:r>
              <w:rPr>
                <w:rFonts w:ascii="Times New Roman" w:hAnsi="Times New Roman"/>
                <w:b/>
                <w:i w:val="false"/>
                <w:color w:val="000000"/>
                <w:sz w:val="14"/>
                <w:u w:val="single"/>
              </w:rPr>
              <w:t>22</w:t>
            </w:r>
          </w:p>
        </w:tc>
        <w:tc>
          <w:tcPr>
            <w:tcW w:w="1432"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strike/>
                <w:color w:val="000000"/>
                <w:sz w:val="14"/>
              </w:rPr>
              <w:t>25</w:t>
            </w:r>
            <w:r>
              <w:rPr>
                <w:rFonts w:ascii="Times New Roman" w:hAnsi="Times New Roman"/>
                <w:b/>
                <w:i w:val="false"/>
                <w:color w:val="000000"/>
                <w:sz w:val="14"/>
                <w:u w:val="single"/>
              </w:rPr>
              <w:t> </w:t>
            </w:r>
            <w:r>
              <w:rPr>
                <w:rFonts w:ascii="Times New Roman" w:hAnsi="Times New Roman"/>
                <w:b/>
                <w:i w:val="false"/>
                <w:color w:val="000000"/>
                <w:sz w:val="14"/>
                <w:u w:val="single"/>
              </w:rPr>
              <w:t>28</w:t>
            </w:r>
          </w:p>
        </w:tc>
        <w:tc>
          <w:tcPr>
            <w:tcW w:w="1432"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strike/>
                <w:color w:val="000000"/>
                <w:sz w:val="14"/>
              </w:rPr>
              <w:t>30</w:t>
            </w:r>
            <w:r>
              <w:rPr>
                <w:rFonts w:ascii="Times New Roman" w:hAnsi="Times New Roman"/>
                <w:b/>
                <w:i w:val="false"/>
                <w:color w:val="000000"/>
                <w:sz w:val="14"/>
                <w:u w:val="single"/>
              </w:rPr>
              <w:t> </w:t>
            </w:r>
            <w:r>
              <w:rPr>
                <w:rFonts w:ascii="Times New Roman" w:hAnsi="Times New Roman"/>
                <w:b/>
                <w:i w:val="false"/>
                <w:color w:val="000000"/>
                <w:sz w:val="14"/>
                <w:u w:val="single"/>
              </w:rPr>
              <w:t>34</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core continuing education hours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issued by an Iowa EMS training program, the department, or CAPCE</w:t>
      </w:r>
      <w:r>
        <w:rPr>
          <w:rFonts w:ascii="Times New Roman" w:hAnsi="Times New Roman"/>
          <w:b w:val="false"/>
          <w:i w:val="false"/>
          <w:color w:val="000000"/>
          <w:sz w:val="24"/>
        </w:rPr>
        <w:t xml:space="preserve"> used to renew an Iowa EMS certification must have a sponsor number </w:t>
      </w:r>
      <w:r>
        <w:rPr>
          <w:rFonts w:ascii="Times New Roman" w:hAnsi="Times New Roman"/>
          <w:b w:val="false"/>
          <w:i w:val="false"/>
          <w:strike/>
          <w:color w:val="000000"/>
          <w:sz w:val="24"/>
        </w:rPr>
        <w:t>by an authorized Iowa training program, the department, the board of nursing, the board of medicine, or CAPCE</w:t>
      </w:r>
      <w:r>
        <w:rPr>
          <w:rFonts w:ascii="Times New Roman" w:hAnsi="Times New Roman"/>
          <w:b w:val="false"/>
          <w:i w:val="false"/>
          <w:color w:val="000000"/>
          <w:sz w:val="24"/>
        </w:rPr>
        <w:t xml:space="preserve"> before the emergency medical care provider attends the offering.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group of emergency medical care providers will be audited for each certification period. Emergency medical care providers to be audited will be chosen in a random manner or at the discretion of the department. Falsifying reports or failure to comply with the audit request may result in formal disciplinary action. </w:t>
      </w:r>
      <w:r>
        <w:rPr>
          <w:rFonts w:ascii="Times New Roman" w:hAnsi="Times New Roman"/>
          <w:b w:val="false"/>
          <w:i w:val="false"/>
          <w:strike/>
          <w:color w:val="000000"/>
          <w:sz w:val="24"/>
        </w:rPr>
        <w:t>Those audited must submit a department-provided audit report form within 45 days of the request.</w:t>
      </w:r>
      <w:r>
        <w:rPr>
          <w:rFonts w:ascii="Times New Roman" w:hAnsi="Times New Roman"/>
          <w:b w:val="false"/>
          <w:i w:val="false"/>
          <w:color w:val="000000"/>
          <w:sz w:val="24"/>
        </w:rPr>
        <w:t xml:space="preserve"> If audited,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within 30 days from the date of request for audit,</w:t>
      </w:r>
      <w:r>
        <w:rPr>
          <w:rFonts w:ascii="Times New Roman" w:hAnsi="Times New Roman"/>
          <w:b w:val="false"/>
          <w:i w:val="false"/>
          <w:color w:val="000000"/>
          <w:sz w:val="24"/>
        </w:rPr>
        <w:t xml:space="preserve"> the emergency medical care provider must provide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copy of the course completion certification or other verifying documentation that contains</w:t>
      </w:r>
      <w:r>
        <w:rPr>
          <w:rFonts w:ascii="Times New Roman" w:hAnsi="Times New Roman"/>
          <w:b w:val="false"/>
          <w:i w:val="false"/>
          <w:color w:val="000000"/>
          <w:sz w:val="24"/>
        </w:rPr>
        <w:t xml:space="preserve"> the following information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at a minimum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Program sponsor number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(if applicable)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131.5(8)</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131.5(8)</w:t>
      </w:r>
      <w:r>
        <w:rPr>
          <w:rFonts w:ascii="Times New Roman" w:hAnsi="Times New Roman"/>
          <w:b w:val="false"/>
          <w:i w:val="false"/>
          <w:color w:val="000000"/>
          <w:sz w:val="24"/>
        </w:rPr>
        <w:t> </w:t>
      </w:r>
      <w:r>
        <w:rPr>
          <w:rFonts w:ascii="Times New Roman" w:hAnsi="Times New Roman"/>
          <w:b w:val="false"/>
          <w:i/>
          <w:color w:val="000000"/>
          <w:sz w:val="24"/>
        </w:rPr>
        <w:t xml:space="preserve">Continuing education approval. </w:t>
      </w:r>
      <w:r>
        <w:rPr>
          <w:rFonts w:ascii="Times New Roman" w:hAnsi="Times New Roman"/>
          <w:b w:val="false"/>
          <w:i w:val="false"/>
          <w:color w:val="000000"/>
          <w:sz w:val="24"/>
        </w:rPr>
        <w:t>The following standards apply for approval of continuing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CEHs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issued by CAPCE, an authorized EMS training program, or the department</w:t>
      </w:r>
      <w:r>
        <w:rPr>
          <w:rFonts w:ascii="Times New Roman" w:hAnsi="Times New Roman"/>
          <w:b w:val="false"/>
          <w:i w:val="false"/>
          <w:color w:val="000000"/>
          <w:sz w:val="24"/>
        </w:rPr>
        <w:t xml:space="preserve"> will have an assigned sponsor number </w:t>
      </w:r>
      <w:r>
        <w:rPr>
          <w:rFonts w:ascii="Times New Roman" w:hAnsi="Times New Roman"/>
          <w:b w:val="false"/>
          <w:i w:val="false"/>
          <w:strike/>
          <w:color w:val="000000"/>
          <w:sz w:val="24"/>
        </w:rPr>
        <w:t>from CAPCE, an authorized EMS training program, the board of nursing, the board of medicine or the department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before the emergency medical care provider attends the offering</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Courses must be, at a minimum, 30 minutes in duration (one-half CEH). Multi-hour courses are granted credit in half-hour increments (e.g., one hour and 30 minutes = one and one-half CEHs).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Continuing education courses that are accepted by the board of nursing and the board of medicine that are directly related to EMS patient care and apply to the core continuing education topics will be accepted.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131.6(4)“e”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strike/>
          <w:color w:val="000000"/>
          <w:sz w:val="24"/>
        </w:rPr>
        <w:t>Fraud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Misrepresentation</w:t>
      </w:r>
      <w:r>
        <w:rPr>
          <w:rFonts w:ascii="Times New Roman" w:hAnsi="Times New Roman"/>
          <w:b w:val="false"/>
          <w:i w:val="false"/>
          <w:color w:val="000000"/>
          <w:sz w:val="24"/>
        </w:rPr>
        <w:t xml:space="preserve"> in procuring certification or renewal,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An intentional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w:t>
      </w:r>
      <w:r>
        <w:rPr>
          <w:rFonts w:ascii="Times New Roman" w:hAnsi="Times New Roman"/>
          <w:b w:val="false"/>
          <w:i w:val="false"/>
          <w:color w:val="000000"/>
          <w:sz w:val="24"/>
        </w:rPr>
        <w:t xml:space="preserve"> perversion of the truth in making application for a certification to practice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center"/>
      </w:pPr>
      <w:r>
        <w:rPr>
          <w:rFonts w:ascii="Times New Roman" w:hAnsi="Times New Roman"/>
          <w:b w:val="false"/>
          <w:i w:val="false"/>
          <w:color w:val="000000"/>
          <w:sz w:val="24"/>
        </w:rPr>
        <w:t>[Filed 8/17/26, effective 11/1/26]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441.2504.pdf" Type="http://schemas.openxmlformats.org/officeDocument/2006/relationships/hyperlink" Id="rId5"/>
    <Relationship TargetMode="External" Target="https://www.legis.iowa.gov/docs/iac/rule/641.131.5.pdf" Type="http://schemas.openxmlformats.org/officeDocument/2006/relationships/hyperlink" Id="rId6"/>
    <Relationship TargetMode="External" Target="https://www.legis.iowa.gov/docs/iac/rule/641.131.5.pdf" Type="http://schemas.openxmlformats.org/officeDocument/2006/relationships/hyperlink" Id="rId7"/>
    <Relationship TargetMode="External" Target="https://www.legis.iowa.gov/docs/iac/rule/641.131.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