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96D" w:id="1"/>
    <w:p>
      <w:pPr>
        <w:spacing w:before="0" w:after="0" w:line="480"/>
        <w:ind w:left="120"/>
        <w:jc w:val="right"/>
      </w:pPr>
      <w:r>
        <w:rPr>
          <w:rFonts w:ascii="Times New Roman" w:hAnsi="Times New Roman"/>
          <w:b/>
          <w:i w:val="false"/>
          <w:color w:val="000000"/>
          <w:sz w:val="28"/>
        </w:rPr>
        <w:t>ARC 0596D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licensure of speech pathologists and audiologists</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amends Chapter 740, “Licensure of Speech Pathologists and Audiologists,”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chapters 147F and 154F and sections 272C.3 and 272C.10.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147, 147F, 154F and 272C.</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These amendments define the requirements for participation in the Audiology and Speech-Language Pathology Interstate Compact, add background check requirements for all applicants and existing license holders, add background check requirements during license reactivation when a license has been inactive for two or more years and the licensee cannot provide evidence of active practice in another state, add a fee for the issuance of a compact privilege to practice in Iowa, and waive the compact privilege fee for an active duty military member or spouse.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May 27, 2026, as </w:t>
      </w:r>
      <w:r>
        <w:rPr>
          <w:rFonts w:ascii="Times New Roman" w:hAnsi="Times New Roman"/>
          <w:b/>
          <w:i w:val="false"/>
          <w:color w:val="000000"/>
          <w:sz w:val="24"/>
        </w:rPr>
        <w:t>ARC 0324D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16, 2026</w:t>
      </w:r>
    </w:p>
    <w:p>
      <w:pPr>
        <w:spacing w:before="0" w:after="0" w:line="480"/>
        <w:ind w:left="120"/>
        <w:jc w:val="both"/>
      </w:pPr>
      <w:r>
        <w:rPr>
          <w:rFonts w:ascii="Times New Roman" w:hAnsi="Times New Roman"/>
          <w:b w:val="false"/>
          <w:i w:val="false"/>
          <w:color w:val="000000"/>
          <w:sz w:val="24"/>
        </w:rPr>
        <w:t>    The American Speech-Language-Hearing Association (ASHA) raised concerns about proposed rule 481—740.2(147) stating that “it could unintentionally create barriers for applicants seeking Iowa licensure who completed their clinical experience outside the state. As written, the rule requires that clinical experience be completed under the supervision of either an Iowa-licensed SLP [speech-language pathologist] or an individual holding ASHA’s Certificate of Clinical Competence (CCC). This presents a significant challenge for individuals who completed their clinical training in another state, do not yet hold their CCC, and wish to transition to practice in Iowa.” ASHA does not have concerns with the remaining provisions of the proposed rulemaking.</w:t>
      </w:r>
    </w:p>
    <w:p>
      <w:pPr>
        <w:spacing w:before="0" w:after="0" w:line="480"/>
        <w:ind w:left="120"/>
        <w:jc w:val="both"/>
      </w:pPr>
      <w:r>
        <w:rPr>
          <w:rFonts w:ascii="Times New Roman" w:hAnsi="Times New Roman"/>
          <w:b w:val="false"/>
          <w:i w:val="false"/>
          <w:color w:val="000000"/>
          <w:sz w:val="24"/>
        </w:rPr>
        <w:t>    Department response: Iowa law currently allows the Board of Speech Pathology and Audiology to approve a clinical experience plan for an individual to work on a temporary clinical license for up to one year. The applicant must identify an Iowa-licensed SLP in order to issue the temporary clinical license to practice under that Iowa licensee. The Board rule has not changed; it has been clarified explicitly since Iowa does not regulate out-of-state providers and cannot accept out-of-state plans for licensure. Iowa will accept ASHA CCC’s from individuals who apply for licensure, regardless of where those hours were earned. The Board reviewed the comments and chose to adopt without making any edits.</w:t>
      </w:r>
    </w:p>
    <w:p>
      <w:pPr>
        <w:spacing w:before="0" w:after="0" w:line="480"/>
        <w:ind w:left="120"/>
        <w:jc w:val="both"/>
      </w:pPr>
      <w:r>
        <w:rPr>
          <w:rFonts w:ascii="Times New Roman" w:hAnsi="Times New Roman"/>
          <w:b w:val="false"/>
          <w:i w:val="false"/>
          <w:color w:val="000000"/>
          <w:sz w:val="24"/>
        </w:rPr>
        <w:t>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July 24,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481—Chapter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2027.</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481—740.1(147)</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“Reactivate” and </w:t>
      </w:r>
      <w:r>
        <w:rPr>
          <w:rFonts w:ascii="Times New Roman" w:hAnsi="Times New Roman"/>
          <w:b w:val="false"/>
          <w:i w:val="false"/>
          <w:color w:val="000000"/>
          <w:sz w:val="24"/>
        </w:rPr>
        <w:t>“Speech pathologist,”</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“Reactivate”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“reactivation”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process as outlined in rule </w:t>
      </w:r>
      <w:hyperlink r:id="rId5">
        <w:r>
          <w:rPr>
            <w:rStyle w:val="Hyperlink"/>
            <w:rFonts w:ascii="Times New Roman" w:hAnsi="Times New Roman"/>
            <w:b w:val="false"/>
            <w:i w:val="false"/>
            <w:strike/>
            <w:color w:val="000000"/>
            <w:sz w:val="24"/>
          </w:rPr>
          <w:t>481—740.11</w:t>
        </w:r>
      </w:hyperlink>
      <w:r>
        <w:rPr>
          <w:rFonts w:ascii="Times New Roman" w:hAnsi="Times New Roman"/>
          <w:b w:val="false"/>
          <w:i w:val="false"/>
          <w:strike/>
          <w:color w:val="000000"/>
          <w:sz w:val="24"/>
        </w:rPr>
        <w:t>(17A,147,272C)</w:t>
      </w:r>
      <w:r>
        <w:rPr>
          <w:rFonts w:ascii="Times New Roman" w:hAnsi="Times New Roman"/>
          <w:b w:val="false"/>
          <w:i w:val="false"/>
          <w:color w:val="000000"/>
          <w:sz w:val="24"/>
          <w:u w:val="single"/>
        </w:rPr>
        <w:t> </w:t>
      </w:r>
      <w:hyperlink r:id="rId6">
        <w:r>
          <w:rPr>
            <w:rStyle w:val="Hyperlink"/>
            <w:rFonts w:ascii="Times New Roman" w:hAnsi="Times New Roman"/>
            <w:b w:val="false"/>
            <w:i w:val="false"/>
            <w:color w:val="000000"/>
            <w:sz w:val="24"/>
            <w:u w:val="single"/>
          </w:rPr>
          <w:t>481—740.10</w:t>
        </w:r>
      </w:hyperlink>
      <w:r>
        <w:rPr>
          <w:rFonts w:ascii="Times New Roman" w:hAnsi="Times New Roman"/>
          <w:b w:val="false"/>
          <w:i w:val="false"/>
          <w:color w:val="000000"/>
          <w:sz w:val="24"/>
          <w:u w:val="single"/>
        </w:rPr>
        <w:t>(17A,147,272C)</w:t>
      </w:r>
      <w:r>
        <w:rPr>
          <w:rFonts w:ascii="Times New Roman" w:hAnsi="Times New Roman"/>
          <w:b w:val="false"/>
          <w:i w:val="false"/>
          <w:color w:val="000000"/>
          <w:sz w:val="24"/>
        </w:rPr>
        <w:t xml:space="preserve"> by which an inactive license is restored to active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“Speech pathologist”</w:t>
      </w:r>
      <w:r>
        <w:rPr>
          <w:rFonts w:ascii="Times New Roman" w:hAnsi="Times New Roman"/>
          <w:b w:val="false"/>
          <w:i w:val="false"/>
          <w:color w:val="000000"/>
          <w:sz w:val="24"/>
        </w:rPr>
        <w:t> </w:t>
      </w:r>
      <w:r>
        <w:rPr>
          <w:rFonts w:ascii="Times New Roman" w:hAnsi="Times New Roman"/>
          <w:b w:val="false"/>
          <w:i w:val="false"/>
          <w:color w:val="000000"/>
          <w:sz w:val="24"/>
          <w:u w:val="single"/>
        </w:rPr>
        <w:t xml:space="preserve">or </w:t>
      </w:r>
      <w:r>
        <w:rPr>
          <w:rFonts w:ascii="Times New Roman" w:hAnsi="Times New Roman"/>
          <w:b w:val="false"/>
          <w:i/>
          <w:color w:val="000000"/>
          <w:sz w:val="24"/>
          <w:u w:val="single"/>
        </w:rPr>
        <w:t>“speech-language pathologist”</w:t>
      </w:r>
      <w:r>
        <w:rPr>
          <w:rFonts w:ascii="Times New Roman" w:hAnsi="Times New Roman"/>
          <w:b w:val="false"/>
          <w:i w:val="false"/>
          <w:color w:val="000000"/>
          <w:sz w:val="24"/>
          <w:u w:val="single"/>
        </w:rPr>
        <w:t> </w:t>
      </w:r>
      <w:r>
        <w:rPr>
          <w:rFonts w:ascii="Times New Roman" w:hAnsi="Times New Roman"/>
          <w:b w:val="false"/>
          <w:i w:val="false"/>
          <w:color w:val="000000"/>
          <w:sz w:val="24"/>
        </w:rPr>
        <w:t>means a person who engages in the application of principles, methods, and procedures for the measurement, testing, evaluation, prediction, consultation, counseling, instruction, habilitation, rehabilitation, or remediation related to the development and disorders of speech, swallowing, fluency, voice, or language for the purpose of nonmedically evaluating, preventing, ameliorating, modifying, or remediating such disorders and conditions in individuals or groups of individuals.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“DCI,” </w:t>
      </w:r>
      <w:r>
        <w:rPr>
          <w:rFonts w:ascii="Times New Roman" w:hAnsi="Times New Roman"/>
          <w:b w:val="false"/>
          <w:i w:val="false"/>
          <w:color w:val="000000"/>
          <w:sz w:val="24"/>
        </w:rPr>
        <w:t xml:space="preserve">“Department” and </w:t>
      </w:r>
      <w:r>
        <w:rPr>
          <w:rFonts w:ascii="Times New Roman" w:hAnsi="Times New Roman"/>
          <w:b w:val="false"/>
          <w:i w:val="false"/>
          <w:color w:val="000000"/>
          <w:sz w:val="24"/>
        </w:rPr>
        <w:t>“FBI”</w:t>
      </w:r>
      <w:r>
        <w:rPr>
          <w:rFonts w:ascii="Times New Roman" w:hAnsi="Times New Roman"/>
          <w:b w:val="false"/>
          <w:i w:val="false"/>
          <w:color w:val="000000"/>
          <w:sz w:val="24"/>
        </w:rPr>
        <w:t xml:space="preserve"> in rule </w:t>
      </w:r>
      <w:r>
        <w:rPr>
          <w:rFonts w:ascii="Times New Roman" w:hAnsi="Times New Roman"/>
          <w:b/>
          <w:i w:val="false"/>
          <w:color w:val="000000"/>
          <w:sz w:val="24"/>
        </w:rPr>
        <w:t>481—740.1(147)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“DCI”</w:t>
      </w:r>
      <w:r>
        <w:rPr>
          <w:rFonts w:ascii="Times New Roman" w:hAnsi="Times New Roman"/>
          <w:b w:val="false"/>
          <w:i w:val="false"/>
          <w:color w:val="000000"/>
          <w:sz w:val="24"/>
        </w:rPr>
        <w:t> </w:t>
      </w:r>
      <w:r>
        <w:rPr>
          <w:rFonts w:ascii="Times New Roman" w:hAnsi="Times New Roman"/>
          <w:b w:val="false"/>
          <w:i w:val="false"/>
          <w:color w:val="000000"/>
          <w:sz w:val="24"/>
        </w:rPr>
        <w:t>means the Iowa division of 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“FBI”</w:t>
      </w:r>
      <w:r>
        <w:rPr>
          <w:rFonts w:ascii="Times New Roman" w:hAnsi="Times New Roman"/>
          <w:b w:val="false"/>
          <w:i w:val="false"/>
          <w:color w:val="000000"/>
          <w:sz w:val="24"/>
        </w:rPr>
        <w:t> </w:t>
      </w:r>
      <w:r>
        <w:rPr>
          <w:rFonts w:ascii="Times New Roman" w:hAnsi="Times New Roman"/>
          <w:b w:val="false"/>
          <w:i w:val="false"/>
          <w:color w:val="000000"/>
          <w:sz w:val="24"/>
        </w:rPr>
        <w:t>means the Federal Bureau of Investigation.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481—740.2(147)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481—740.2</w:t>
      </w:r>
      <w:r>
        <w:rPr>
          <w:rFonts w:ascii="Times New Roman" w:hAnsi="Times New Roman"/>
          <w:b/>
          <w:i w:val="false"/>
          <w:color w:val="000000"/>
          <w:sz w:val="24"/>
        </w:rPr>
        <w:t xml:space="preserve">(147) </w:t>
      </w:r>
      <w:r>
        <w:rPr>
          <w:rFonts w:ascii="Times New Roman" w:hAnsi="Times New Roman"/>
          <w:b/>
          <w:i w:val="false"/>
          <w:color w:val="000000"/>
          <w:sz w:val="24"/>
        </w:rPr>
        <w:t xml:space="preserve">Initial licensure. </w:t>
      </w:r>
      <w:r>
        <w:rPr>
          <w:rFonts w:ascii="Times New Roman" w:hAnsi="Times New Roman"/>
          <w:b w:val="false"/>
          <w:i w:val="false"/>
          <w:color w:val="000000"/>
          <w:sz w:val="24"/>
        </w:rPr>
        <w:t>The following criteria will apply to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740.2(1)</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will submit a completed online licensure application and pay the nonrefundable licensure fee specified in rule </w:t>
      </w:r>
      <w:hyperlink r:id="rId7">
        <w:r>
          <w:rPr>
            <w:rStyle w:val="Hyperlink"/>
            <w:rFonts w:ascii="Times New Roman" w:hAnsi="Times New Roman"/>
            <w:b w:val="false"/>
            <w:i w:val="false"/>
            <w:color w:val="000000"/>
            <w:sz w:val="24"/>
          </w:rPr>
          <w:t>481—507.20</w:t>
        </w:r>
      </w:hyperlink>
      <w:r>
        <w:rPr>
          <w:rFonts w:ascii="Times New Roman" w:hAnsi="Times New Roman"/>
          <w:b w:val="false"/>
          <w:i w:val="false"/>
          <w:color w:val="000000"/>
          <w:sz w:val="24"/>
        </w:rPr>
        <w:t>(147,154F).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740.2(2)</w:t>
      </w:r>
      <w:r>
        <w:rPr>
          <w:rFonts w:ascii="Times New Roman" w:hAnsi="Times New Roman"/>
          <w:b w:val="false"/>
          <w:i w:val="false"/>
          <w:color w:val="000000"/>
          <w:sz w:val="24"/>
        </w:rPr>
        <w:t> </w:t>
      </w:r>
      <w:r>
        <w:rPr>
          <w:rFonts w:ascii="Times New Roman" w:hAnsi="Times New Roman"/>
          <w:b w:val="false"/>
          <w:i w:val="false"/>
          <w:color w:val="000000"/>
          <w:sz w:val="24"/>
        </w:rPr>
        <w:t>Application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who did not complete the nine months of clinical experience under supervision of a licensed Iowa speech pathologist or audiologist, as appropriate, must submit: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official copy of a current ASHA certificate of clinical competence;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current ABA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complete the nine-month clinical experience under Iowa supervision may submit evidence of licensure requirements as outlined in paragraph </w:t>
      </w:r>
      <w:hyperlink r:id="rId8">
        <w:r>
          <w:rPr>
            <w:rStyle w:val="Hyperlink"/>
            <w:rFonts w:ascii="Times New Roman" w:hAnsi="Times New Roman"/>
            <w:b w:val="false"/>
            <w:i w:val="false"/>
            <w:color w:val="000000"/>
            <w:sz w:val="24"/>
          </w:rPr>
          <w:t>740.2(2)</w:t>
        </w:r>
        <w:r>
          <w:rPr>
            <w:rFonts w:ascii="Times New Roman" w:hAnsi="Times New Roman"/>
            <w:b w:val="false"/>
            <w:i/>
            <w:color w:val="000000"/>
            <w:sz w:val="24"/>
          </w:rPr>
          <w:t>“a”</w:t>
        </w:r>
      </w:hyperlink>
      <w:r>
        <w:rPr>
          <w:rFonts w:ascii="Times New Roman" w:hAnsi="Times New Roman"/>
          <w:b w:val="false"/>
          <w:i w:val="false"/>
          <w:color w:val="000000"/>
          <w:sz w:val="24"/>
        </w:rPr>
        <w:t xml:space="preserve"> or must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Official copies of academic transcripts sent directly from the school to the board showing proof of completion of not less than 400 hours of supervised clinical training;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nine months of full-time clinical experience, or equivalent, completed after the master’s degree, under the supervision of a licensed speech pathologist or audiologist or as a part of the doctoral degree.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Results of the Praxis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740.2(3)</w:t>
      </w:r>
      <w:r>
        <w:rPr>
          <w:rFonts w:ascii="Times New Roman" w:hAnsi="Times New Roman"/>
          <w:b w:val="false"/>
          <w:i w:val="false"/>
          <w:color w:val="000000"/>
          <w:sz w:val="24"/>
        </w:rPr>
        <w:t> </w:t>
      </w:r>
      <w:r>
        <w:rPr>
          <w:rFonts w:ascii="Times New Roman" w:hAnsi="Times New Roman"/>
          <w:b w:val="false"/>
          <w:i w:val="false"/>
          <w:color w:val="000000"/>
          <w:sz w:val="24"/>
        </w:rPr>
        <w:t>Applicants will 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740.2(4)</w:t>
      </w:r>
      <w:r>
        <w:rPr>
          <w:rFonts w:ascii="Times New Roman" w:hAnsi="Times New Roman"/>
          <w:b w:val="false"/>
          <w:i w:val="false"/>
          <w:color w:val="000000"/>
          <w:sz w:val="24"/>
        </w:rPr>
        <w:t> </w:t>
      </w:r>
      <w:r>
        <w:rPr>
          <w:rFonts w:ascii="Times New Roman" w:hAnsi="Times New Roman"/>
          <w:b w:val="false"/>
          <w:i w:val="false"/>
          <w:color w:val="000000"/>
          <w:sz w:val="24"/>
        </w:rPr>
        <w:t>An applicant who has been licensed in the District of Columbia or another state, territory, province or foreign country who has been a licensed speech pathologist or audiologist under the laws of another jurisdiction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Licensee’s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Date of initial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Current licensure status;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disciplinary action taken against the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who has relocated to Iowa from a state that did not require licensure to practice the profession may submit proof of work experience in lieu of educational and training requirements, if eligible, in accordance with rule </w:t>
      </w:r>
      <w:hyperlink r:id="rId9">
        <w:r>
          <w:rPr>
            <w:rStyle w:val="Hyperlink"/>
            <w:rFonts w:ascii="Times New Roman" w:hAnsi="Times New Roman"/>
            <w:b w:val="false"/>
            <w:i w:val="false"/>
            <w:color w:val="000000"/>
            <w:sz w:val="24"/>
          </w:rPr>
          <w:t>481—501.2</w:t>
        </w:r>
      </w:hyperlink>
      <w:r>
        <w:rPr>
          <w:rFonts w:ascii="Times New Roman" w:hAnsi="Times New Roman"/>
          <w:b w:val="false"/>
          <w:i w:val="false"/>
          <w:color w:val="000000"/>
          <w:sz w:val="24"/>
        </w:rPr>
        <w:t>(272C).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740.2(6)</w:t>
      </w:r>
      <w:r>
        <w:rPr>
          <w:rFonts w:ascii="Times New Roman" w:hAnsi="Times New Roman"/>
          <w:b w:val="false"/>
          <w:i w:val="false"/>
          <w:color w:val="000000"/>
          <w:sz w:val="24"/>
        </w:rPr>
        <w:t> </w:t>
      </w:r>
      <w:r>
        <w:rPr>
          <w:rFonts w:ascii="Times New Roman" w:hAnsi="Times New Roman"/>
          <w:b w:val="false"/>
          <w:i w:val="false"/>
          <w:color w:val="000000"/>
          <w:sz w:val="24"/>
        </w:rPr>
        <w:t>If the application is not completed according to the instructions, the application will not be reviewed by the board.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740.3(2)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740.3(2)</w:t>
      </w:r>
      <w:r>
        <w:rPr>
          <w:rFonts w:ascii="Times New Roman" w:hAnsi="Times New Roman"/>
          <w:b w:val="false"/>
          <w:i w:val="false"/>
          <w:color w:val="000000"/>
          <w:sz w:val="24"/>
        </w:rPr>
        <w:t> </w:t>
      </w:r>
      <w:r>
        <w:rPr>
          <w:rFonts w:ascii="Times New Roman" w:hAnsi="Times New Roman"/>
          <w:b w:val="false"/>
          <w:i w:val="false"/>
          <w:color w:val="000000"/>
          <w:sz w:val="24"/>
        </w:rPr>
        <w:t>Foreign-trained applicants.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Foreign-trained speech pathologist and audiologist applicants who do not hold a license in another state or U.S. territory shall provide an English translation and an equivalency evaluation at the licensee’s expense of the licensee’s educational credentials by one of the approved credential evaluation services on ABA’s or ASHA’s websites or approved by the board. The professional curriculum must be equivalent to that stated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Foreign-trained applicants who hold a license in another state or U.S. territory may apply for licensure by endorsement.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481—740.5(147)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210" w:after="0" w:line="480"/>
        <w:ind w:left="120"/>
        <w:jc w:val="both"/>
      </w:pPr>
      <w:r>
        <w:rPr>
          <w:rFonts w:ascii="Times New Roman" w:hAnsi="Times New Roman"/>
          <w:b/>
          <w:i w:val="false"/>
          <w:color w:val="000000"/>
          <w:sz w:val="24"/>
        </w:rPr>
        <w:t>481—740.5</w:t>
      </w:r>
      <w:r>
        <w:rPr>
          <w:rFonts w:ascii="Times New Roman" w:hAnsi="Times New Roman"/>
          <w:b/>
          <w:i w:val="false"/>
          <w:color w:val="000000"/>
          <w:sz w:val="24"/>
        </w:rPr>
        <w:t xml:space="preserve">(147) </w:t>
      </w:r>
      <w:r>
        <w:rPr>
          <w:rFonts w:ascii="Times New Roman" w:hAnsi="Times New Roman"/>
          <w:b/>
          <w:i w:val="false"/>
          <w:color w:val="000000"/>
          <w:sz w:val="24"/>
        </w:rPr>
        <w:t xml:space="preserve">Audiology and speech-language pathology interstate compact. </w:t>
      </w:r>
      <w:r>
        <w:rPr>
          <w:rFonts w:ascii="Times New Roman" w:hAnsi="Times New Roman"/>
          <w:b w:val="false"/>
          <w:i w:val="false"/>
          <w:color w:val="000000"/>
          <w:sz w:val="24"/>
        </w:rPr>
        <w:t xml:space="preserve">The rules of the audiology and speech-language pathology interstate compact commission are incorporated by reference pursuant to Iowa Code section </w:t>
      </w:r>
      <w:hyperlink r:id="rId10">
        <w:r>
          <w:rPr>
            <w:rStyle w:val="Hyperlink"/>
            <w:rFonts w:ascii="Times New Roman" w:hAnsi="Times New Roman"/>
            <w:b w:val="false"/>
            <w:i w:val="false"/>
            <w:color w:val="000000"/>
            <w:sz w:val="24"/>
          </w:rPr>
          <w:t>147F.1</w:t>
        </w:r>
      </w:hyperlink>
      <w:r>
        <w:rPr>
          <w:rFonts w:ascii="Times New Roman" w:hAnsi="Times New Roman"/>
          <w:b w:val="false"/>
          <w:i w:val="false"/>
          <w:color w:val="000000"/>
          <w:sz w:val="24"/>
        </w:rPr>
        <w:t xml:space="preserve">. An audiologist or speech-language pathologist may engage in the practice of audiology or speech-language pathology in Iowa without a license issued by the board if the individual has a current compact privilege to practice in Iowa issued by the audiology and speech-language pathology interstate compact commission. The state fee for issuance of a compact privilege to practice in Iowa shall be $60, which will be collected by the speech-language pathology interstate compact commission. The state fee for issuance of a compact privilege to practice in Iowa shall be waived for an active-duty military member or spouse of an individual who is an active-duty military member. An audiologist or speech-language pathologist who practices audiology or speech-language pathology in Iowa using a compact privilege is subject to the rules governing licensees in rule </w:t>
      </w:r>
      <w:hyperlink r:id="rId11">
        <w:r>
          <w:rPr>
            <w:rStyle w:val="Hyperlink"/>
            <w:rFonts w:ascii="Times New Roman" w:hAnsi="Times New Roman"/>
            <w:b w:val="false"/>
            <w:i w:val="false"/>
            <w:color w:val="000000"/>
            <w:sz w:val="24"/>
          </w:rPr>
          <w:t>481—740.8</w:t>
        </w:r>
      </w:hyperlink>
      <w:r>
        <w:rPr>
          <w:rFonts w:ascii="Times New Roman" w:hAnsi="Times New Roman"/>
          <w:b w:val="false"/>
          <w:i w:val="false"/>
          <w:color w:val="000000"/>
          <w:sz w:val="24"/>
        </w:rPr>
        <w:t xml:space="preserve">(147) and in 481—Chapters </w:t>
      </w:r>
      <w:hyperlink r:id="rId12">
        <w:r>
          <w:rPr>
            <w:rStyle w:val="Hyperlink"/>
            <w:rFonts w:ascii="Times New Roman" w:hAnsi="Times New Roman"/>
            <w:b w:val="false"/>
            <w:i w:val="false"/>
            <w:color w:val="000000"/>
            <w:sz w:val="24"/>
          </w:rPr>
          <w:t>741</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743</w:t>
        </w:r>
      </w:hyperlink>
      <w:r>
        <w:rPr>
          <w:rFonts w:ascii="Times New Roman" w:hAnsi="Times New Roman"/>
          <w:b w:val="false"/>
          <w:i w:val="false"/>
          <w:color w:val="000000"/>
          <w:sz w:val="24"/>
        </w:rPr>
        <w:t xml:space="preserve">. Complaints, investigations, and disciplinary proceedings involving a compact privilege shall be handled in accordance with Iowa Code chapters </w:t>
      </w:r>
      <w:hyperlink r:id="rId1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147F</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154F</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272C</w:t>
        </w:r>
      </w:hyperlink>
      <w:r>
        <w:rPr>
          <w:rFonts w:ascii="Times New Roman" w:hAnsi="Times New Roman"/>
          <w:b w:val="false"/>
          <w:i w:val="false"/>
          <w:color w:val="000000"/>
          <w:sz w:val="24"/>
        </w:rPr>
        <w:t xml:space="preserve"> and with 481—Chapters </w:t>
      </w:r>
      <w:hyperlink r:id="rId18">
        <w:r>
          <w:rPr>
            <w:rStyle w:val="Hyperlink"/>
            <w:rFonts w:ascii="Times New Roman" w:hAnsi="Times New Roman"/>
            <w:b w:val="false"/>
            <w:i w:val="false"/>
            <w:color w:val="000000"/>
            <w:sz w:val="24"/>
          </w:rPr>
          <w:t>503</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504</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506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i w:val="false"/>
          <w:color w:val="000000"/>
          <w:sz w:val="24"/>
        </w:rPr>
        <w:t>481—740.9(147)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740.10(3)“a”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Meet the continuing education requirements of rule </w:t>
      </w:r>
      <w:hyperlink r:id="rId21">
        <w:r>
          <w:rPr>
            <w:rStyle w:val="Hyperlink"/>
            <w:rFonts w:ascii="Times New Roman" w:hAnsi="Times New Roman"/>
            <w:b w:val="false"/>
            <w:i w:val="false"/>
            <w:color w:val="000000"/>
            <w:sz w:val="24"/>
          </w:rPr>
          <w:t>481—742.2</w:t>
        </w:r>
      </w:hyperlink>
      <w:r>
        <w:rPr>
          <w:rFonts w:ascii="Times New Roman" w:hAnsi="Times New Roman"/>
          <w:b w:val="false"/>
          <w:i w:val="false"/>
          <w:color w:val="000000"/>
          <w:sz w:val="24"/>
        </w:rPr>
        <w:t xml:space="preserve">(147) and the mandatory reporting requirements of subrule </w:t>
      </w:r>
      <w:r>
        <w:rPr>
          <w:rFonts w:ascii="Times New Roman" w:hAnsi="Times New Roman"/>
          <w:b w:val="false"/>
          <w:i w:val="false"/>
          <w:strike/>
          <w:color w:val="000000"/>
          <w:sz w:val="24"/>
        </w:rPr>
        <w:t>740.10(4)</w:t>
      </w:r>
      <w:r>
        <w:rPr>
          <w:rFonts w:ascii="Times New Roman" w:hAnsi="Times New Roman"/>
          <w:b w:val="false"/>
          <w:i w:val="false"/>
          <w:color w:val="000000"/>
          <w:sz w:val="24"/>
          <w:u w:val="single"/>
        </w:rPr>
        <w:t> </w:t>
      </w:r>
      <w:hyperlink r:id="rId22">
        <w:r>
          <w:rPr>
            <w:rStyle w:val="Hyperlink"/>
            <w:rFonts w:ascii="Times New Roman" w:hAnsi="Times New Roman"/>
            <w:b w:val="false"/>
            <w:i w:val="false"/>
            <w:color w:val="000000"/>
            <w:sz w:val="24"/>
            <w:u w:val="single"/>
          </w:rPr>
          <w:t>740.9(4)</w:t>
        </w:r>
      </w:hyperlink>
      <w:r>
        <w:rPr>
          <w:rFonts w:ascii="Times New Roman" w:hAnsi="Times New Roman"/>
          <w:b w:val="false"/>
          <w:i w:val="false"/>
          <w:color w:val="000000"/>
          <w:sz w:val="24"/>
        </w:rPr>
        <w:t>. A licensee whose license was reactivated during the current renewal compliance period may use continuing education credit earned during the compliance period for the first renewal following reactivation; and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740.10(4)“b”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board may select licensees for audit of compliance with the requirements in paragraphs </w:t>
      </w:r>
      <w:r>
        <w:rPr>
          <w:rFonts w:ascii="Times New Roman" w:hAnsi="Times New Roman"/>
          <w:b w:val="false"/>
          <w:i w:val="false"/>
          <w:strike/>
          <w:color w:val="000000"/>
          <w:sz w:val="24"/>
        </w:rPr>
        <w:t>740.11(4)</w:t>
      </w:r>
      <w:r>
        <w:rPr>
          <w:rFonts w:ascii="Times New Roman" w:hAnsi="Times New Roman"/>
          <w:b w:val="false"/>
          <w:i w:val="false"/>
          <w:color w:val="000000"/>
          <w:sz w:val="24"/>
          <w:u w:val="single"/>
        </w:rPr>
        <w:t> </w:t>
      </w:r>
      <w:hyperlink r:id="rId23">
        <w:r>
          <w:rPr>
            <w:rStyle w:val="Hyperlink"/>
            <w:rFonts w:ascii="Times New Roman" w:hAnsi="Times New Roman"/>
            <w:b w:val="false"/>
            <w:i w:val="false"/>
            <w:color w:val="000000"/>
            <w:sz w:val="24"/>
            <w:u w:val="single"/>
          </w:rPr>
          <w:t>740.10(4)</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740.10(9)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740.10(9)</w:t>
      </w:r>
      <w:r>
        <w:rPr>
          <w:rFonts w:ascii="Times New Roman" w:hAnsi="Times New Roman"/>
          <w:b w:val="false"/>
          <w:i w:val="false"/>
          <w:color w:val="000000"/>
          <w:sz w:val="24"/>
        </w:rPr>
        <w:t> </w:t>
      </w:r>
      <w:r>
        <w:rPr>
          <w:rFonts w:ascii="Times New Roman" w:hAnsi="Times New Roman"/>
          <w:b w:val="false"/>
          <w:i w:val="false"/>
          <w:color w:val="000000"/>
          <w:sz w:val="24"/>
        </w:rPr>
        <w:t>Compact eligibility review. This rule applies to licensees who were licensed prior to enactment of this rule. In order to complete the compact eligibility review, at or prior to a licensee’s next renewal,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740.11(2)“a”(2)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completion of 26 hours of continuing education within two years of application for reactivation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verification of active practice, consisting of a minimum of 2,080 hours, in another state or jurisdiction during the two years preceding an application for reactivation</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740.11(2)“b”(2)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completion of 52 hours of continuing education within two years of application for reactivation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26 hours of continuing education within two years of application for reactivation and verification of active practice, consisting of a minimum of 2,080 hours, in another state or jurisdiction during the two years preceding an application for reactivation</w:t>
      </w:r>
      <w:r>
        <w:rPr>
          <w:rFonts w:ascii="Times New Roman" w:hAnsi="Times New Roman"/>
          <w:b w:val="false"/>
          <w:i w:val="false"/>
          <w:color w:val="000000"/>
          <w:sz w:val="24"/>
        </w:rPr>
        <w:t>; or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740.11(3)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740.11(3)</w:t>
      </w:r>
      <w:r>
        <w:rPr>
          <w:rFonts w:ascii="Times New Roman" w:hAnsi="Times New Roman"/>
          <w:b w:val="false"/>
          <w:i w:val="false"/>
          <w:color w:val="000000"/>
          <w:sz w:val="24"/>
        </w:rPr>
        <w:t> </w:t>
      </w:r>
      <w:r>
        <w:rPr>
          <w:rFonts w:ascii="Times New Roman" w:hAnsi="Times New Roman"/>
          <w:b w:val="false"/>
          <w:i w:val="false"/>
          <w:color w:val="000000"/>
          <w:sz w:val="24"/>
        </w:rPr>
        <w:t>If the license has been inactive for two or more years and the licensee cannot provide verification of active practice, consisting of a minimum of 2,080 hours, in another state or jurisdiction during the two years preceding an application for reactivation,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481—740.10(147)</w:t>
      </w:r>
      <w:r>
        <w:rPr>
          <w:rFonts w:ascii="Times New Roman" w:hAnsi="Times New Roman"/>
          <w:b w:val="false"/>
          <w:i w:val="false"/>
          <w:color w:val="000000"/>
          <w:sz w:val="24"/>
        </w:rPr>
        <w:t xml:space="preserve"> to </w:t>
      </w:r>
      <w:r>
        <w:rPr>
          <w:rFonts w:ascii="Times New Roman" w:hAnsi="Times New Roman"/>
          <w:b/>
          <w:i w:val="false"/>
          <w:color w:val="000000"/>
          <w:sz w:val="24"/>
        </w:rPr>
        <w:t>481—740.12(17A,147,272C)</w:t>
      </w:r>
      <w:r>
        <w:rPr>
          <w:rFonts w:ascii="Times New Roman" w:hAnsi="Times New Roman"/>
          <w:b w:val="false"/>
          <w:i w:val="false"/>
          <w:color w:val="000000"/>
          <w:sz w:val="24"/>
        </w:rPr>
        <w:t xml:space="preserve"> as </w:t>
      </w:r>
      <w:r>
        <w:rPr>
          <w:rFonts w:ascii="Times New Roman" w:hAnsi="Times New Roman"/>
          <w:b/>
          <w:i w:val="false"/>
          <w:color w:val="000000"/>
          <w:sz w:val="24"/>
        </w:rPr>
        <w:t>481—740.9(147)</w:t>
      </w:r>
      <w:r>
        <w:rPr>
          <w:rFonts w:ascii="Times New Roman" w:hAnsi="Times New Roman"/>
          <w:b w:val="false"/>
          <w:i w:val="false"/>
          <w:color w:val="000000"/>
          <w:sz w:val="24"/>
        </w:rPr>
        <w:t xml:space="preserve"> to </w:t>
      </w:r>
      <w:r>
        <w:rPr>
          <w:rFonts w:ascii="Times New Roman" w:hAnsi="Times New Roman"/>
          <w:b/>
          <w:i w:val="false"/>
          <w:color w:val="000000"/>
          <w:sz w:val="24"/>
        </w:rPr>
        <w:t>481—740.11(17A,147,272C)</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8/26/26, effective 7/1/27]</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481.740.11.pdf" Type="http://schemas.openxmlformats.org/officeDocument/2006/relationships/hyperlink" Id="rId5"/>
    <Relationship TargetMode="External" Target="https://www.legis.iowa.gov/docs/iac/rule/481.740.10.pdf" Type="http://schemas.openxmlformats.org/officeDocument/2006/relationships/hyperlink" Id="rId6"/>
    <Relationship TargetMode="External" Target="https://www.legis.iowa.gov/docs/iac/rule/481.507.20.pdf" Type="http://schemas.openxmlformats.org/officeDocument/2006/relationships/hyperlink" Id="rId7"/>
    <Relationship TargetMode="External" Target="https://www.legis.iowa.gov/docs/iac/rule/481.740.2.pdf" Type="http://schemas.openxmlformats.org/officeDocument/2006/relationships/hyperlink" Id="rId8"/>
    <Relationship TargetMode="External" Target="https://www.legis.iowa.gov/docs/iac/rule/481.501.2.pdf" Type="http://schemas.openxmlformats.org/officeDocument/2006/relationships/hyperlink" Id="rId9"/>
    <Relationship TargetMode="External" Target="https://www.legis.iowa.gov/docs/ico/chapter/147F.1.pdf" Type="http://schemas.openxmlformats.org/officeDocument/2006/relationships/hyperlink" Id="rId10"/>
    <Relationship TargetMode="External" Target="https://www.legis.iowa.gov/docs/iac/rule/481.740.8.pdf" Type="http://schemas.openxmlformats.org/officeDocument/2006/relationships/hyperlink" Id="rId11"/>
    <Relationship TargetMode="External" Target="https://www.legis.iowa.gov/docs/iac/chapter/481.741.pdf" Type="http://schemas.openxmlformats.org/officeDocument/2006/relationships/hyperlink" Id="rId12"/>
    <Relationship TargetMode="External" Target="https://www.legis.iowa.gov/docs/iac/chapter/481.743.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47F.pdf" Type="http://schemas.openxmlformats.org/officeDocument/2006/relationships/hyperlink" Id="rId15"/>
    <Relationship TargetMode="External" Target="https://www.legis.iowa.gov/docs/ico/chapter/154F.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ac/chapter/481.503.pdf" Type="http://schemas.openxmlformats.org/officeDocument/2006/relationships/hyperlink" Id="rId18"/>
    <Relationship TargetMode="External" Target="https://www.legis.iowa.gov/docs/iac/chapter/481.504.pdf" Type="http://schemas.openxmlformats.org/officeDocument/2006/relationships/hyperlink" Id="rId19"/>
    <Relationship TargetMode="External" Target="https://www.legis.iowa.gov/docs/iac/chapter/481.506.pdf" Type="http://schemas.openxmlformats.org/officeDocument/2006/relationships/hyperlink" Id="rId20"/>
    <Relationship TargetMode="External" Target="https://www.legis.iowa.gov/docs/iac/rule/481.742.2.pdf" Type="http://schemas.openxmlformats.org/officeDocument/2006/relationships/hyperlink" Id="rId21"/>
    <Relationship TargetMode="External" Target="https://www.legis.iowa.gov/docs/iac/rule/481.740.9.pdf" Type="http://schemas.openxmlformats.org/officeDocument/2006/relationships/hyperlink" Id="rId22"/>
    <Relationship TargetMode="External" Target="https://www.legis.iowa.gov/docs/iac/rule/481.740.10.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