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9D" w:id="1"/>
    <w:p>
      <w:pPr>
        <w:spacing w:before="0" w:after="0" w:line="480"/>
        <w:ind w:left="120"/>
        <w:jc w:val="right"/>
      </w:pPr>
      <w:r>
        <w:rPr>
          <w:rFonts w:ascii="Times New Roman" w:hAnsi="Times New Roman"/>
          <w:b/>
          <w:i w:val="false"/>
          <w:color w:val="000000"/>
          <w:sz w:val="28"/>
        </w:rPr>
        <w:t>ARC 0589D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delayed deposit services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17, “Delayed Deposit Services,” Iowa Administrative Code, and adopts a new Chapter 17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533D.3.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533D.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17 and adopting a new chapter in lieu thereof. The new chapter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0364D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but made no comment on the proposed rulemaking. No public comments were received. No changes from the Notice have been made.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w:t>
      </w:r>
    </w:p>
    <w:p>
      <w:pPr>
        <w:spacing w:before="0" w:after="0" w:line="480"/>
        <w:ind w:left="120"/>
        <w:jc w:val="center"/>
      </w:pPr>
      <w:r>
        <w:rPr>
          <w:rFonts w:ascii="Times New Roman" w:hAnsi="Times New Roman"/>
          <w:b w:val="false"/>
          <w:i w:val="false"/>
          <w:color w:val="000000"/>
          <w:sz w:val="21"/>
        </w:rPr>
        <w:t>DELAYED DEPOSIT SERVICES</w:t>
      </w:r>
    </w:p>
    <w:p>
      <w:pPr>
        <w:spacing w:before="0" w:after="0" w:line="480"/>
        <w:ind w:left="120"/>
        <w:jc w:val="both"/>
      </w:pPr>
      <w:r>
        <w:rPr>
          <w:rFonts w:ascii="Times New Roman" w:hAnsi="Times New Roman"/>
          <w:b/>
          <w:i w:val="false"/>
          <w:color w:val="000000"/>
          <w:sz w:val="24"/>
        </w:rPr>
        <w:t>187—17.1</w:t>
      </w:r>
      <w:r>
        <w:rPr>
          <w:rFonts w:ascii="Times New Roman" w:hAnsi="Times New Roman"/>
          <w:b/>
          <w:i w:val="false"/>
          <w:color w:val="000000"/>
          <w:sz w:val="24"/>
        </w:rPr>
        <w:t xml:space="preserve">(17A,533D)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5">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“Delayed deposit transactions”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activities of a “delayed deposit services business” as defined in Iowa Code section </w:t>
      </w:r>
      <w:hyperlink r:id="rId6">
        <w:r>
          <w:rPr>
            <w:rStyle w:val="Hyperlink"/>
            <w:rFonts w:ascii="Times New Roman" w:hAnsi="Times New Roman"/>
            <w:b w:val="false"/>
            <w:i w:val="false"/>
            <w:color w:val="000000"/>
            <w:sz w:val="24"/>
          </w:rPr>
          <w:t>533D.2(2)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“Maker”</w:t>
      </w:r>
      <w:r>
        <w:rPr>
          <w:rFonts w:ascii="Times New Roman" w:hAnsi="Times New Roman"/>
          <w:b w:val="false"/>
          <w:i w:val="false"/>
          <w:color w:val="000000"/>
          <w:sz w:val="24"/>
        </w:rPr>
        <w:t> </w:t>
      </w:r>
      <w:r>
        <w:rPr>
          <w:rFonts w:ascii="Times New Roman" w:hAnsi="Times New Roman"/>
          <w:b w:val="false"/>
          <w:i w:val="false"/>
          <w:color w:val="000000"/>
          <w:sz w:val="24"/>
        </w:rPr>
        <w:t>means a person who issues a check in order to enter into a delayed deposit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7">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187—17.2</w:t>
      </w:r>
      <w:r>
        <w:rPr>
          <w:rFonts w:ascii="Times New Roman" w:hAnsi="Times New Roman"/>
          <w:b/>
          <w:i w:val="false"/>
          <w:color w:val="000000"/>
          <w:sz w:val="24"/>
        </w:rPr>
        <w:t xml:space="preserve">(17A,533D)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and credit background check fees.</w:t>
      </w:r>
    </w:p>
    <w:p>
      <w:pPr>
        <w:spacing w:before="0" w:after="0" w:line="480"/>
        <w:ind w:left="120"/>
        <w:jc w:val="both"/>
      </w:pPr>
      <w:r>
        <w:rPr>
          <w:rFonts w:ascii="Times New Roman" w:hAnsi="Times New Roman"/>
          <w:b/>
          <w:i w:val="false"/>
          <w:color w:val="000000"/>
          <w:sz w:val="24"/>
        </w:rPr>
        <w:t>187—17.3</w:t>
      </w:r>
      <w:r>
        <w:rPr>
          <w:rFonts w:ascii="Times New Roman" w:hAnsi="Times New Roman"/>
          <w:b/>
          <w:i w:val="false"/>
          <w:color w:val="000000"/>
          <w:sz w:val="24"/>
        </w:rPr>
        <w:t xml:space="preserve">(17A,533D)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operate a delayed deposit services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specified in Iowa Code section </w:t>
      </w:r>
      <w:hyperlink r:id="rId8">
        <w:r>
          <w:rPr>
            <w:rStyle w:val="Hyperlink"/>
            <w:rFonts w:ascii="Times New Roman" w:hAnsi="Times New Roman"/>
            <w:b w:val="false"/>
            <w:i w:val="false"/>
            <w:color w:val="000000"/>
            <w:sz w:val="24"/>
          </w:rPr>
          <w:t>533D.3</w:t>
        </w:r>
      </w:hyperlink>
      <w:r>
        <w:rPr>
          <w:rFonts w:ascii="Times New Roman" w:hAnsi="Times New Roman"/>
          <w:b w:val="false"/>
          <w:i w:val="false"/>
          <w:color w:val="000000"/>
          <w:sz w:val="24"/>
        </w:rPr>
        <w:t xml:space="preserve"> and an initial license fee of $250. The superintendent shall refund the initial license fee if the application is denied,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17.3(4)</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file with the superintendent a bond complying with the provisions of Iowa Code section </w:t>
      </w:r>
      <w:hyperlink r:id="rId9">
        <w:r>
          <w:rPr>
            <w:rStyle w:val="Hyperlink"/>
            <w:rFonts w:ascii="Times New Roman" w:hAnsi="Times New Roman"/>
            <w:b w:val="false"/>
            <w:i w:val="false"/>
            <w:color w:val="000000"/>
            <w:sz w:val="24"/>
          </w:rPr>
          <w:t>533D.3(3)</w:t>
        </w:r>
      </w:hyperlink>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187—17.4</w:t>
      </w:r>
      <w:r>
        <w:rPr>
          <w:rFonts w:ascii="Times New Roman" w:hAnsi="Times New Roman"/>
          <w:b/>
          <w:i w:val="false"/>
          <w:color w:val="000000"/>
          <w:sz w:val="24"/>
        </w:rPr>
        <w:t xml:space="preserve">(17A,533D)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 </w:t>
      </w:r>
      <w:hyperlink r:id="rId10">
        <w:r>
          <w:rPr>
            <w:rStyle w:val="Hyperlink"/>
            <w:rFonts w:ascii="Times New Roman" w:hAnsi="Times New Roman"/>
            <w:b w:val="false"/>
            <w:i w:val="false"/>
            <w:color w:val="000000"/>
            <w:sz w:val="24"/>
          </w:rPr>
          <w:t>533D.3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lawfully and honestly consistent with the purposes of Iowa Code chapter </w:t>
      </w:r>
      <w:hyperlink r:id="rId11">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had a mortgage loan originator license or any lending license revoked in any governmental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pled guilty or no contest to, a felony in a domestic, foreign, or military court if such felony involved an act of fraud, dishonesty, or breach of trust, or money laundering.</w:t>
      </w:r>
    </w:p>
    <w:p>
      <w:pPr>
        <w:spacing w:before="0" w:after="0" w:line="480"/>
        <w:ind w:left="120"/>
        <w:jc w:val="both"/>
      </w:pPr>
      <w:r>
        <w:rPr>
          <w:rFonts w:ascii="Times New Roman" w:hAnsi="Times New Roman"/>
          <w:b/>
          <w:i w:val="false"/>
          <w:color w:val="000000"/>
          <w:sz w:val="24"/>
        </w:rPr>
        <w:t>187—17.5</w:t>
      </w:r>
      <w:r>
        <w:rPr>
          <w:rFonts w:ascii="Times New Roman" w:hAnsi="Times New Roman"/>
          <w:b/>
          <w:i w:val="false"/>
          <w:color w:val="000000"/>
          <w:sz w:val="24"/>
        </w:rPr>
        <w:t xml:space="preserve">(17A,533D)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conduct delayed deposit transactions. Licenses expire on the next December 31 after they are issued, but licenses granted on or after November 1 but before January 1 do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the NMLS by December 1 of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17.5(3)</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187—17.6</w:t>
      </w:r>
      <w:r>
        <w:rPr>
          <w:rFonts w:ascii="Times New Roman" w:hAnsi="Times New Roman"/>
          <w:b/>
          <w:i w:val="false"/>
          <w:color w:val="000000"/>
          <w:sz w:val="24"/>
        </w:rPr>
        <w:t xml:space="preserve">(17A,533D) </w:t>
      </w:r>
      <w:r>
        <w:rPr>
          <w:rFonts w:ascii="Times New Roman" w:hAnsi="Times New Roman"/>
          <w:b/>
          <w:i w:val="false"/>
          <w:color w:val="000000"/>
          <w:sz w:val="24"/>
        </w:rPr>
        <w:t xml:space="preserve">Changes in the licensee’s name, location, or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wishing to change the name or location of a delayed deposit services business shall notify the superintendent at least 30 days prior to the requested change and submit the fee specified in Iowa Code sections </w:t>
      </w:r>
      <w:hyperlink r:id="rId12">
        <w:r>
          <w:rPr>
            <w:rStyle w:val="Hyperlink"/>
            <w:rFonts w:ascii="Times New Roman" w:hAnsi="Times New Roman"/>
            <w:b w:val="false"/>
            <w:i w:val="false"/>
            <w:color w:val="000000"/>
            <w:sz w:val="24"/>
          </w:rPr>
          <w:t>533D.7</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533D.7A</w:t>
        </w:r>
      </w:hyperlink>
      <w:r>
        <w:rPr>
          <w:rFonts w:ascii="Times New Roman" w:hAnsi="Times New Roman"/>
          <w:b w:val="false"/>
          <w:i w:val="false"/>
          <w:color w:val="000000"/>
          <w:sz w:val="24"/>
        </w:rPr>
        <w:t>. The request shall include proof that the licensee has either obtained a new bond or amended the existing bond to reflect the new name or location. A licensee cannot enter into delayed deposit transactions under a different name without providing such notice and submitting the required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17.6(2)</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wishing to establish a branch office must submit the application to the superintendent, on the form provided and with the information requested, through the NMLS, along with the fee specified in Iowa Code section </w:t>
      </w:r>
      <w:hyperlink r:id="rId14">
        <w:r>
          <w:rPr>
            <w:rStyle w:val="Hyperlink"/>
            <w:rFonts w:ascii="Times New Roman" w:hAnsi="Times New Roman"/>
            <w:b w:val="false"/>
            <w:i w:val="false"/>
            <w:color w:val="000000"/>
            <w:sz w:val="24"/>
          </w:rPr>
          <w:t>533D.7</w:t>
        </w:r>
      </w:hyperlink>
      <w:r>
        <w:rPr>
          <w:rFonts w:ascii="Times New Roman" w:hAnsi="Times New Roman"/>
          <w:b w:val="false"/>
          <w:i w:val="false"/>
          <w:color w:val="000000"/>
          <w:sz w:val="24"/>
        </w:rPr>
        <w:t xml:space="preserve">. Licenses issued to branch offices are treated as independent licenses and are subject to the renewal requirements, fees, and procedures specified in rule </w:t>
      </w:r>
      <w:hyperlink r:id="rId15">
        <w:r>
          <w:rPr>
            <w:rStyle w:val="Hyperlink"/>
            <w:rFonts w:ascii="Times New Roman" w:hAnsi="Times New Roman"/>
            <w:b w:val="false"/>
            <w:i w:val="false"/>
            <w:color w:val="000000"/>
            <w:sz w:val="24"/>
          </w:rPr>
          <w:t>187—17.5</w:t>
        </w:r>
      </w:hyperlink>
      <w:r>
        <w:rPr>
          <w:rFonts w:ascii="Times New Roman" w:hAnsi="Times New Roman"/>
          <w:b w:val="false"/>
          <w:i w:val="false"/>
          <w:color w:val="000000"/>
          <w:sz w:val="24"/>
        </w:rPr>
        <w:t>(17A,533D).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17.6(3)</w:t>
      </w:r>
      <w:r>
        <w:rPr>
          <w:rFonts w:ascii="Times New Roman" w:hAnsi="Times New Roman"/>
          <w:b w:val="false"/>
          <w:i w:val="false"/>
          <w:color w:val="000000"/>
          <w:sz w:val="24"/>
        </w:rPr>
        <w:t> </w:t>
      </w:r>
      <w:r>
        <w:rPr>
          <w:rFonts w:ascii="Times New Roman" w:hAnsi="Times New Roman"/>
          <w:b w:val="false"/>
          <w:i w:val="false"/>
          <w:color w:val="000000"/>
          <w:sz w:val="24"/>
        </w:rPr>
        <w:t xml:space="preserve">When change of control of a licensee is proposed, the party that will assume control of the licensee shall give notice to the superintendent at least 60 days before the proposed change will take effect. The party that will assume control of the licensee shall furnish the superintendent with the same information required of initial applicants for a license, along with the fee specified in Iowa Code sections </w:t>
      </w:r>
      <w:hyperlink r:id="rId16">
        <w:r>
          <w:rPr>
            <w:rStyle w:val="Hyperlink"/>
            <w:rFonts w:ascii="Times New Roman" w:hAnsi="Times New Roman"/>
            <w:b w:val="false"/>
            <w:i w:val="false"/>
            <w:color w:val="000000"/>
            <w:sz w:val="24"/>
          </w:rPr>
          <w:t>533D.6</w:t>
        </w:r>
      </w:hyperlink>
      <w:r>
        <w:rPr>
          <w:rFonts w:ascii="Times New Roman" w:hAnsi="Times New Roman"/>
          <w:b w:val="false"/>
          <w:i w:val="false"/>
          <w:color w:val="000000"/>
          <w:sz w:val="24"/>
        </w:rPr>
        <w:t xml:space="preserv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7">
        <w:r>
          <w:rPr>
            <w:rStyle w:val="Hyperlink"/>
            <w:rFonts w:ascii="Times New Roman" w:hAnsi="Times New Roman"/>
            <w:b w:val="false"/>
            <w:i w:val="false"/>
            <w:color w:val="000000"/>
            <w:sz w:val="24"/>
          </w:rPr>
          <w:t>533D.3</w:t>
        </w:r>
      </w:hyperlink>
      <w:r>
        <w:rPr>
          <w:rFonts w:ascii="Times New Roman" w:hAnsi="Times New Roman"/>
          <w:b w:val="false"/>
          <w:i w:val="false"/>
          <w:color w:val="000000"/>
          <w:sz w:val="24"/>
        </w:rPr>
        <w:t xml:space="preserve"> and rule </w:t>
      </w:r>
      <w:hyperlink r:id="rId18">
        <w:r>
          <w:rPr>
            <w:rStyle w:val="Hyperlink"/>
            <w:rFonts w:ascii="Times New Roman" w:hAnsi="Times New Roman"/>
            <w:b w:val="false"/>
            <w:i w:val="false"/>
            <w:color w:val="000000"/>
            <w:sz w:val="24"/>
          </w:rPr>
          <w:t>187—17.4</w:t>
        </w:r>
      </w:hyperlink>
      <w:r>
        <w:rPr>
          <w:rFonts w:ascii="Times New Roman" w:hAnsi="Times New Roman"/>
          <w:b w:val="false"/>
          <w:i w:val="false"/>
          <w:color w:val="000000"/>
          <w:sz w:val="24"/>
        </w:rPr>
        <w:t>(17A,533D).</w:t>
      </w:r>
    </w:p>
    <w:p>
      <w:pPr>
        <w:spacing w:before="210" w:after="0" w:line="480"/>
        <w:ind w:left="120"/>
        <w:jc w:val="both"/>
      </w:pPr>
      <w:r>
        <w:rPr>
          <w:rFonts w:ascii="Times New Roman" w:hAnsi="Times New Roman"/>
          <w:b/>
          <w:i w:val="false"/>
          <w:color w:val="000000"/>
          <w:sz w:val="24"/>
        </w:rPr>
        <w:t>187—17.7</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187—17.8</w:t>
      </w:r>
      <w:r>
        <w:rPr>
          <w:rFonts w:ascii="Times New Roman" w:hAnsi="Times New Roman"/>
          <w:b/>
          <w:i w:val="false"/>
          <w:color w:val="000000"/>
          <w:sz w:val="24"/>
        </w:rPr>
        <w:t xml:space="preserve">(17A,533D)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the NMLS or attributed to the licensee’s record in the NMLS pursuant to rule </w:t>
      </w:r>
      <w:hyperlink r:id="rId19">
        <w:r>
          <w:rPr>
            <w:rStyle w:val="Hyperlink"/>
            <w:rFonts w:ascii="Times New Roman" w:hAnsi="Times New Roman"/>
            <w:b w:val="false"/>
            <w:i w:val="false"/>
            <w:color w:val="000000"/>
            <w:sz w:val="24"/>
          </w:rPr>
          <w:t>187—17.2</w:t>
        </w:r>
      </w:hyperlink>
      <w:r>
        <w:rPr>
          <w:rFonts w:ascii="Times New Roman" w:hAnsi="Times New Roman"/>
          <w:b w:val="false"/>
          <w:i w:val="false"/>
          <w:color w:val="000000"/>
          <w:sz w:val="24"/>
        </w:rPr>
        <w:t>(17A,533D).</w:t>
      </w:r>
    </w:p>
    <w:p>
      <w:pPr>
        <w:spacing w:before="0" w:after="0" w:line="480"/>
        <w:ind w:left="120"/>
        <w:jc w:val="both"/>
      </w:pPr>
      <w:r>
        <w:rPr>
          <w:rFonts w:ascii="Times New Roman" w:hAnsi="Times New Roman"/>
          <w:b/>
          <w:i w:val="false"/>
          <w:color w:val="000000"/>
          <w:sz w:val="24"/>
        </w:rPr>
        <w:t>187—17.9</w:t>
      </w:r>
      <w:r>
        <w:rPr>
          <w:rFonts w:ascii="Times New Roman" w:hAnsi="Times New Roman"/>
          <w:b/>
          <w:i w:val="false"/>
          <w:color w:val="000000"/>
          <w:sz w:val="24"/>
        </w:rPr>
        <w:t xml:space="preserve">(17A,533D)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 requirements. </w:t>
      </w:r>
      <w:r>
        <w:rPr>
          <w:rFonts w:ascii="Times New Roman" w:hAnsi="Times New Roman"/>
          <w:b w:val="false"/>
          <w:i w:val="false"/>
          <w:color w:val="000000"/>
          <w:sz w:val="24"/>
        </w:rPr>
        <w:t>A licensee must keep records that allow the superintendent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keep records for at least 24 months from the date of the final transaction with the maker.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shall maintain all books and records in good order and produce books and records for the superintendent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its license. The owners and directors of the licensee are responsible for ensuring that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licensee shall keep, at its principal place of business, a transaction register, an account ledger, a transaction file, an index, an application log, a denial file, and a disbursement voucher.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17.9(3)</w:t>
      </w:r>
      <w:r>
        <w:rPr>
          <w:rFonts w:ascii="Times New Roman" w:hAnsi="Times New Roman"/>
          <w:b w:val="false"/>
          <w:i w:val="false"/>
          <w:color w:val="000000"/>
          <w:sz w:val="24"/>
        </w:rPr>
        <w:t> </w:t>
      </w:r>
      <w:r>
        <w:rPr>
          <w:rFonts w:ascii="Times New Roman" w:hAnsi="Times New Roman"/>
          <w:b w:val="false"/>
          <w:i/>
          <w:color w:val="000000"/>
          <w:sz w:val="24"/>
        </w:rPr>
        <w:t xml:space="preserve">Transaction register. </w:t>
      </w:r>
      <w:r>
        <w:rPr>
          <w:rFonts w:ascii="Times New Roman" w:hAnsi="Times New Roman"/>
          <w:b w:val="false"/>
          <w:i w:val="false"/>
          <w:color w:val="000000"/>
          <w:sz w:val="24"/>
        </w:rPr>
        <w:t>The transaction register shall be kept chronologically in the order the transactions closed and include the following information for every transaction that is made: the account number, the date of the transaction, the name of the maker, the amount financed, and the amount of the maker’s check. A licensee may combine the transaction register with the application log.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17.9(4)</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r>
        <w:rPr>
          <w:rFonts w:ascii="Times New Roman" w:hAnsi="Times New Roman"/>
          <w:b w:val="false"/>
          <w:i w:val="false"/>
          <w:color w:val="000000"/>
          <w:sz w:val="24"/>
        </w:rPr>
        <w:t>A licensee shall maintain an account ledger for each maker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maker, the transaction number, the transaction date, the maturity date, the payment terms, the amount financed, and the total of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transaction history that lists all transactions with the maker. Payments shall be posted to the account ledger effective the date payments were received and show the date payment was received, the total amount of the payment, and a description of how the payment was applied to the maker’s account. Other transactions shall be fully described. Corrections to the transaction history shall be made by corrective entry and not by erasure.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17.9(5)</w:t>
      </w:r>
      <w:r>
        <w:rPr>
          <w:rFonts w:ascii="Times New Roman" w:hAnsi="Times New Roman"/>
          <w:b w:val="false"/>
          <w:i w:val="false"/>
          <w:color w:val="000000"/>
          <w:sz w:val="24"/>
        </w:rPr>
        <w:t> </w:t>
      </w:r>
      <w:r>
        <w:rPr>
          <w:rFonts w:ascii="Times New Roman" w:hAnsi="Times New Roman"/>
          <w:b w:val="false"/>
          <w:i/>
          <w:color w:val="000000"/>
          <w:sz w:val="24"/>
        </w:rPr>
        <w:t xml:space="preserve">Transaction file. </w:t>
      </w:r>
      <w:r>
        <w:rPr>
          <w:rFonts w:ascii="Times New Roman" w:hAnsi="Times New Roman"/>
          <w:b w:val="false"/>
          <w:i w:val="false"/>
          <w:color w:val="000000"/>
          <w:sz w:val="24"/>
        </w:rPr>
        <w:t xml:space="preserve">The transaction file consists of the application, the transaction agreement, notice pursuant to Iowa Code section </w:t>
      </w:r>
      <w:hyperlink r:id="rId20">
        <w:r>
          <w:rPr>
            <w:rStyle w:val="Hyperlink"/>
            <w:rFonts w:ascii="Times New Roman" w:hAnsi="Times New Roman"/>
            <w:b w:val="false"/>
            <w:i w:val="false"/>
            <w:color w:val="000000"/>
            <w:sz w:val="24"/>
          </w:rPr>
          <w:t>533D.9(2)</w:t>
        </w:r>
      </w:hyperlink>
      <w:r>
        <w:rPr>
          <w:rFonts w:ascii="Times New Roman" w:hAnsi="Times New Roman"/>
          <w:b w:val="false"/>
          <w:i w:val="false"/>
          <w:color w:val="000000"/>
          <w:sz w:val="24"/>
        </w:rPr>
        <w:t>, and all required truth-in-lending disclosures for each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17.9(6)</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record shall be maintained and show the name of each maker, endorser, comaker, or surety who is currently indebted to the licensee, together with sufficient information to locate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17.9(7)</w:t>
      </w:r>
      <w:r>
        <w:rPr>
          <w:rFonts w:ascii="Times New Roman" w:hAnsi="Times New Roman"/>
          <w:b w:val="false"/>
          <w:i w:val="false"/>
          <w:color w:val="000000"/>
          <w:sz w:val="24"/>
        </w:rPr>
        <w:t> </w:t>
      </w:r>
      <w:r>
        <w:rPr>
          <w:rFonts w:ascii="Times New Roman" w:hAnsi="Times New Roman"/>
          <w:b w:val="false"/>
          <w:i/>
          <w:color w:val="000000"/>
          <w:sz w:val="24"/>
        </w:rPr>
        <w:t xml:space="preserve">Application log. </w:t>
      </w:r>
      <w:r>
        <w:rPr>
          <w:rFonts w:ascii="Times New Roman" w:hAnsi="Times New Roman"/>
          <w:b w:val="false"/>
          <w:i w:val="false"/>
          <w:color w:val="000000"/>
          <w:sz w:val="24"/>
        </w:rPr>
        <w:t>The application log is a chronological list of applications received. The application log shall include the name of the applicant, the date the application was received, whether the transaction was made or denied, and the date when the transaction was made or denied if that date differs from the date when the licensee received the application. For approved applications, the application log shall show the date when the transaction closed and the name of the maker. For recordkeeping purposes, an application is a prospective maker’s oral or written request for a licensee to extend credit that is made in accordance with the procedures established by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17.9(8)</w:t>
      </w:r>
      <w:r>
        <w:rPr>
          <w:rFonts w:ascii="Times New Roman" w:hAnsi="Times New Roman"/>
          <w:b w:val="false"/>
          <w:i w:val="false"/>
          <w:color w:val="000000"/>
          <w:sz w:val="24"/>
        </w:rPr>
        <w:t> </w:t>
      </w:r>
      <w:r>
        <w:rPr>
          <w:rFonts w:ascii="Times New Roman" w:hAnsi="Times New Roman"/>
          <w:b w:val="false"/>
          <w:i/>
          <w:color w:val="000000"/>
          <w:sz w:val="24"/>
        </w:rPr>
        <w:t xml:space="preserve">Disbursement voucher. </w:t>
      </w:r>
      <w:r>
        <w:rPr>
          <w:rFonts w:ascii="Times New Roman" w:hAnsi="Times New Roman"/>
          <w:b w:val="false"/>
          <w:i w:val="false"/>
          <w:color w:val="000000"/>
          <w:sz w:val="24"/>
        </w:rPr>
        <w:t>Licensees shall use, in conjunction with each transaction, a disbursement voucher or equivalent document showing a detailed itemization of the distribution of the transaction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17.9(9)</w:t>
      </w:r>
      <w:r>
        <w:rPr>
          <w:rFonts w:ascii="Times New Roman" w:hAnsi="Times New Roman"/>
          <w:b w:val="false"/>
          <w:i w:val="false"/>
          <w:color w:val="000000"/>
          <w:sz w:val="24"/>
        </w:rPr>
        <w:t> </w:t>
      </w:r>
      <w:r>
        <w:rPr>
          <w:rFonts w:ascii="Times New Roman" w:hAnsi="Times New Roman"/>
          <w:b w:val="false"/>
          <w:i/>
          <w:color w:val="000000"/>
          <w:sz w:val="24"/>
        </w:rPr>
        <w:t xml:space="preserve">Denial file. </w:t>
      </w:r>
      <w:r>
        <w:rPr>
          <w:rFonts w:ascii="Times New Roman" w:hAnsi="Times New Roman"/>
          <w:b w:val="false"/>
          <w:i w:val="false"/>
          <w:color w:val="000000"/>
          <w:sz w:val="24"/>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17.9(10)</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delayed deposit services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transaction applicant, including a record of the date and amount of all such payments actually made by each transaction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delayed deposit services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surety bond required by Iowa Code chapter </w:t>
      </w:r>
      <w:hyperlink r:id="rId21">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delayed deposit services directed at Iowa residents, including advertisements and solicitations on the internet or by other electronic means, in the format in which the advertisements and solicitations were published or distributed.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17.9(11)</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2">
        <w:r>
          <w:rPr>
            <w:rStyle w:val="Hyperlink"/>
            <w:rFonts w:ascii="Times New Roman" w:hAnsi="Times New Roman"/>
            <w:b w:val="false"/>
            <w:i w:val="false"/>
            <w:color w:val="000000"/>
            <w:sz w:val="24"/>
          </w:rPr>
          <w:t>715A.8(1)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owners and directors of licensees and former licensees are responsible for ensuring that this requirement is met.</w:t>
      </w:r>
    </w:p>
    <w:p>
      <w:pPr>
        <w:spacing w:before="0" w:after="0" w:line="480"/>
        <w:ind w:left="120"/>
        <w:jc w:val="both"/>
      </w:pPr>
      <w:r>
        <w:rPr>
          <w:rFonts w:ascii="Times New Roman" w:hAnsi="Times New Roman"/>
          <w:b/>
          <w:i w:val="false"/>
          <w:color w:val="000000"/>
          <w:sz w:val="24"/>
        </w:rPr>
        <w:t>187—17.10</w:t>
      </w:r>
      <w:r>
        <w:rPr>
          <w:rFonts w:ascii="Times New Roman" w:hAnsi="Times New Roman"/>
          <w:b/>
          <w:i w:val="false"/>
          <w:color w:val="000000"/>
          <w:sz w:val="24"/>
        </w:rPr>
        <w:t xml:space="preserve">(17A,533D)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may, at any time and as often as the superintendent deems necessary, investigate or examine a licensee pursuant to Iowa Code section </w:t>
      </w:r>
      <w:hyperlink r:id="rId23">
        <w:r>
          <w:rPr>
            <w:rStyle w:val="Hyperlink"/>
            <w:rFonts w:ascii="Times New Roman" w:hAnsi="Times New Roman"/>
            <w:b w:val="false"/>
            <w:i w:val="false"/>
            <w:color w:val="000000"/>
            <w:sz w:val="24"/>
          </w:rPr>
          <w:t>533D.11</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17.10(2)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187—17.11</w:t>
      </w:r>
      <w:r>
        <w:rPr>
          <w:rFonts w:ascii="Times New Roman" w:hAnsi="Times New Roman"/>
          <w:b/>
          <w:i w:val="false"/>
          <w:color w:val="000000"/>
          <w:sz w:val="24"/>
        </w:rPr>
        <w:t xml:space="preserve">(17A,533D)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superintendent may impose any of the disciplinary sanctions set out in Iowa Code section </w:t>
      </w:r>
      <w:hyperlink r:id="rId24">
        <w:r>
          <w:rPr>
            <w:rStyle w:val="Hyperlink"/>
            <w:rFonts w:ascii="Times New Roman" w:hAnsi="Times New Roman"/>
            <w:b w:val="false"/>
            <w:i w:val="false"/>
            <w:color w:val="000000"/>
            <w:sz w:val="24"/>
          </w:rPr>
          <w:t>533D.12(2)</w:t>
        </w:r>
      </w:hyperlink>
      <w:r>
        <w:rPr>
          <w:rFonts w:ascii="Times New Roman" w:hAnsi="Times New Roman"/>
          <w:b w:val="false"/>
          <w:i w:val="false"/>
          <w:color w:val="000000"/>
          <w:sz w:val="24"/>
        </w:rPr>
        <w:t xml:space="preserve"> when the superintendent makes any of the findings in Iowa Code section </w:t>
      </w:r>
      <w:hyperlink r:id="rId25">
        <w:r>
          <w:rPr>
            <w:rStyle w:val="Hyperlink"/>
            <w:rFonts w:ascii="Times New Roman" w:hAnsi="Times New Roman"/>
            <w:b w:val="false"/>
            <w:i w:val="false"/>
            <w:color w:val="000000"/>
            <w:sz w:val="24"/>
          </w:rPr>
          <w:t>533D.12(1)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is found upon investigation to be insolvent, in which case the license shall be revoked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an inquiry from the superintendent within 30 days of the date the superintendent mails a written communication directed to the licensee’s last-known address on file with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operate a delayed deposit services business or enter into delayed deposit transactions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a license fee, in whole or in part, of a license that has been suspended, revoked, or surrendered.</w:t>
      </w:r>
    </w:p>
    <w:p>
      <w:pPr>
        <w:spacing w:before="210" w:after="0" w:line="480"/>
        <w:ind w:left="120"/>
        <w:jc w:val="both"/>
      </w:pPr>
      <w:r>
        <w:rPr>
          <w:rFonts w:ascii="Times New Roman" w:hAnsi="Times New Roman"/>
          <w:b/>
          <w:i w:val="false"/>
          <w:color w:val="000000"/>
          <w:sz w:val="24"/>
        </w:rPr>
        <w:t>187—17.12</w:t>
      </w:r>
      <w:r>
        <w:rPr>
          <w:rFonts w:ascii="Times New Roman" w:hAnsi="Times New Roman"/>
          <w:b/>
          <w:i w:val="false"/>
          <w:color w:val="000000"/>
          <w:sz w:val="24"/>
        </w:rPr>
        <w:t xml:space="preserve">(17A,533D) </w:t>
      </w:r>
      <w:r>
        <w:rPr>
          <w:rFonts w:ascii="Times New Roman" w:hAnsi="Times New Roman"/>
          <w:b/>
          <w:i w:val="false"/>
          <w:color w:val="000000"/>
          <w:sz w:val="24"/>
        </w:rPr>
        <w:t xml:space="preserve">Annual report. </w:t>
      </w:r>
      <w:r>
        <w:rPr>
          <w:rFonts w:ascii="Times New Roman" w:hAnsi="Times New Roman"/>
          <w:b w:val="false"/>
          <w:i w:val="false"/>
          <w:color w:val="000000"/>
          <w:sz w:val="24"/>
        </w:rPr>
        <w:t>Licensees must file with the superintendent an annual report, on forms prescribed by the superintendent, on or before April 15. The information contained in the annual report shall be confidential, and the superintendent may publish the information only in composite form. The superintendent may assess a late fee of $10 for each day the annual report is delinquent.</w:t>
      </w:r>
    </w:p>
    <w:p>
      <w:pPr>
        <w:spacing w:before="0" w:after="0" w:line="480"/>
        <w:ind w:left="120"/>
        <w:jc w:val="both"/>
      </w:pPr>
      <w:r>
        <w:rPr>
          <w:rFonts w:ascii="Times New Roman" w:hAnsi="Times New Roman"/>
          <w:b/>
          <w:i w:val="false"/>
          <w:color w:val="000000"/>
          <w:sz w:val="24"/>
        </w:rPr>
        <w:t>187—17.13</w:t>
      </w:r>
      <w:r>
        <w:rPr>
          <w:rFonts w:ascii="Times New Roman" w:hAnsi="Times New Roman"/>
          <w:b/>
          <w:i w:val="false"/>
          <w:color w:val="000000"/>
          <w:sz w:val="24"/>
        </w:rPr>
        <w:t xml:space="preserve">(17A,533D) </w:t>
      </w:r>
      <w:r>
        <w:rPr>
          <w:rFonts w:ascii="Times New Roman" w:hAnsi="Times New Roman"/>
          <w:b/>
          <w:i w:val="false"/>
          <w:color w:val="000000"/>
          <w:sz w:val="24"/>
        </w:rPr>
        <w:t xml:space="preserve">Restrictions on making delayed deposit transactions. </w:t>
      </w:r>
      <w:r>
        <w:rPr>
          <w:rFonts w:ascii="Times New Roman" w:hAnsi="Times New Roman"/>
          <w:b w:val="false"/>
          <w:i w:val="false"/>
          <w:color w:val="000000"/>
          <w:sz w:val="24"/>
        </w:rPr>
        <w:t>A licensee shall not enter into a new delayed deposit transaction with a maker on the same day the maker pays an existing delayed deposit transaction with the licensee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17.13(1)</w:t>
      </w:r>
      <w:r>
        <w:rPr>
          <w:rFonts w:ascii="Times New Roman" w:hAnsi="Times New Roman"/>
          <w:b w:val="false"/>
          <w:i w:val="false"/>
          <w:color w:val="000000"/>
          <w:sz w:val="24"/>
        </w:rPr>
        <w:t> </w:t>
      </w:r>
      <w:r>
        <w:rPr>
          <w:rFonts w:ascii="Times New Roman" w:hAnsi="Times New Roman"/>
          <w:b w:val="false"/>
          <w:i w:val="false"/>
          <w:color w:val="000000"/>
          <w:sz w:val="24"/>
        </w:rPr>
        <w:t>The aggregate amount of the check(s) the maker is paying and the new check the maker is writing does not exceed the statutory maximum of $500;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17.13(2)</w:t>
      </w:r>
      <w:r>
        <w:rPr>
          <w:rFonts w:ascii="Times New Roman" w:hAnsi="Times New Roman"/>
          <w:b w:val="false"/>
          <w:i w:val="false"/>
          <w:color w:val="000000"/>
          <w:sz w:val="24"/>
        </w:rPr>
        <w:t> </w:t>
      </w:r>
      <w:r>
        <w:rPr>
          <w:rFonts w:ascii="Times New Roman" w:hAnsi="Times New Roman"/>
          <w:b w:val="false"/>
          <w:i w:val="false"/>
          <w:color w:val="000000"/>
          <w:sz w:val="24"/>
        </w:rPr>
        <w:t>The licensee does not hold more than two outstanding checks in the maker’s name, including the check(s) being paid and the new check being issued.</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33D.pdf" Type="http://schemas.openxmlformats.org/officeDocument/2006/relationships/hyperlink" Id="rId5"/>
    <Relationship TargetMode="External" Target="https://www.legis.iowa.gov/docs/ico/chapter/533D.2.pdf" Type="http://schemas.openxmlformats.org/officeDocument/2006/relationships/hyperlink" Id="rId6"/>
    <Relationship TargetMode="External" Target="https://www.legis.iowa.gov/docs/ico/chapter/535D.3.pdf" Type="http://schemas.openxmlformats.org/officeDocument/2006/relationships/hyperlink" Id="rId7"/>
    <Relationship TargetMode="External" Target="https://www.legis.iowa.gov/docs/ico/chapter/533D.3.pdf" Type="http://schemas.openxmlformats.org/officeDocument/2006/relationships/hyperlink" Id="rId8"/>
    <Relationship TargetMode="External" Target="https://www.legis.iowa.gov/docs/ico/chapter/533D.3.pdf" Type="http://schemas.openxmlformats.org/officeDocument/2006/relationships/hyperlink" Id="rId9"/>
    <Relationship TargetMode="External" Target="https://www.legis.iowa.gov/docs/ico/chapter/533D.3.pdf" Type="http://schemas.openxmlformats.org/officeDocument/2006/relationships/hyperlink" Id="rId10"/>
    <Relationship TargetMode="External" Target="https://www.legis.iowa.gov/docs/ico/chapter/533D.pdf" Type="http://schemas.openxmlformats.org/officeDocument/2006/relationships/hyperlink" Id="rId11"/>
    <Relationship TargetMode="External" Target="https://www.legis.iowa.gov/docs/ico/chapter/533D.7.pdf" Type="http://schemas.openxmlformats.org/officeDocument/2006/relationships/hyperlink" Id="rId12"/>
    <Relationship TargetMode="External" Target="https://www.legis.iowa.gov/docs/ico/chapter/533D.7A.pdf" Type="http://schemas.openxmlformats.org/officeDocument/2006/relationships/hyperlink" Id="rId13"/>
    <Relationship TargetMode="External" Target="https://www.legis.iowa.gov/docs/ico/chapter/533D.7.pdf" Type="http://schemas.openxmlformats.org/officeDocument/2006/relationships/hyperlink" Id="rId14"/>
    <Relationship TargetMode="External" Target="https://www.legis.iowa.gov/docs/iac/rule/187.17.5.pdf" Type="http://schemas.openxmlformats.org/officeDocument/2006/relationships/hyperlink" Id="rId15"/>
    <Relationship TargetMode="External" Target="https://www.legis.iowa.gov/docs/ico/chapter/533D.6.pdf" Type="http://schemas.openxmlformats.org/officeDocument/2006/relationships/hyperlink" Id="rId16"/>
    <Relationship TargetMode="External" Target="https://www.legis.iowa.gov/docs/ico/chapter/533D.3.pdf" Type="http://schemas.openxmlformats.org/officeDocument/2006/relationships/hyperlink" Id="rId17"/>
    <Relationship TargetMode="External" Target="https://www.legis.iowa.gov/docs/iac/rule/187.17.4.pdf" Type="http://schemas.openxmlformats.org/officeDocument/2006/relationships/hyperlink" Id="rId18"/>
    <Relationship TargetMode="External" Target="https://www.legis.iowa.gov/docs/iac/rule/187.17.2.pdf" Type="http://schemas.openxmlformats.org/officeDocument/2006/relationships/hyperlink" Id="rId19"/>
    <Relationship TargetMode="External" Target="https://www.legis.iowa.gov/docs/ico/chapter/533D.9.pdf" Type="http://schemas.openxmlformats.org/officeDocument/2006/relationships/hyperlink" Id="rId20"/>
    <Relationship TargetMode="External" Target="https://www.legis.iowa.gov/docs/ico/chapter/533D.pdf" Type="http://schemas.openxmlformats.org/officeDocument/2006/relationships/hyperlink" Id="rId21"/>
    <Relationship TargetMode="External" Target="https://www.legis.iowa.gov/docs/ico/chapter/715A.8.pdf" Type="http://schemas.openxmlformats.org/officeDocument/2006/relationships/hyperlink" Id="rId22"/>
    <Relationship TargetMode="External" Target="https://www.legis.iowa.gov/docs/ico/chapter/533D.11.pdf" Type="http://schemas.openxmlformats.org/officeDocument/2006/relationships/hyperlink" Id="rId23"/>
    <Relationship TargetMode="External" Target="https://www.legis.iowa.gov/docs/ico/chapter/533D.12.pdf" Type="http://schemas.openxmlformats.org/officeDocument/2006/relationships/hyperlink" Id="rId24"/>
    <Relationship TargetMode="External" Target="https://www.legis.iowa.gov/docs/ico/chapter/533D.12.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533D.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