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4D" w:id="1"/>
    <w:p>
      <w:pPr>
        <w:spacing w:before="0" w:after="0" w:line="480"/>
        <w:ind w:left="120"/>
        <w:jc w:val="right"/>
      </w:pPr>
      <w:r>
        <w:rPr>
          <w:rFonts w:ascii="Times New Roman" w:hAnsi="Times New Roman"/>
          <w:b/>
          <w:i w:val="false"/>
          <w:color w:val="000000"/>
          <w:sz w:val="28"/>
        </w:rPr>
        <w:t>ARC 0584D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State banking council</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4, “State Banking Council,”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524.213.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524.213.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4 relating to the organization and administration of the State Banking Council, thereby eliminating language that duplicates statutory language, eliminating unnecessary and inconsistent language, and removing unnecessarily restrictive terms.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0363D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and expressed support for the proposed rescission.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187—Chapter 4</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