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80D" w:id="1"/>
    <w:p>
      <w:pPr>
        <w:spacing w:before="0" w:after="0" w:line="480"/>
        <w:ind w:left="120"/>
        <w:jc w:val="right"/>
      </w:pPr>
      <w:r>
        <w:rPr>
          <w:rFonts w:ascii="Times New Roman" w:hAnsi="Times New Roman"/>
          <w:b/>
          <w:i w:val="false"/>
          <w:color w:val="000000"/>
          <w:sz w:val="28"/>
        </w:rPr>
        <w:t>ARC 0580D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arts and culture operating and granting policies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(Authority) hereby proposes to rescind Chapter 305, “Operating and Granting Policies,” and to adopt a new Chapter 305, “Arts and Culture Operating and Granting Policies,”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15.106A(1)“m” and 17A.7(3).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15.106A(1)“m,” 15.436 and 15.465 through 15.467 and 2 CFR Part 200.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305 and adopt a new chapter in lieu thereof. The current chapter provides the operating framework of the Iowa Arts Council within the Authority and operating and granting policies for arts programs administered by the Authority.</w:t>
      </w:r>
    </w:p>
    <w:p>
      <w:pPr>
        <w:spacing w:before="0" w:after="0" w:line="480"/>
        <w:ind w:left="120"/>
        <w:jc w:val="both"/>
      </w:pPr>
      <w:r>
        <w:rPr>
          <w:rFonts w:ascii="Times New Roman" w:hAnsi="Times New Roman"/>
          <w:b w:val="false"/>
          <w:i w:val="false"/>
          <w:color w:val="000000"/>
          <w:sz w:val="24"/>
        </w:rPr>
        <w:t>    This proposed chapter implements consolidation of arts appropriations and programs in 2025 Iowa Acts, House File 975. The legislation authorized creation of an Arts and Culture Enhancement Fund that will be utilized for broad purposes related to the arts. The policies in this proposed chapter will apply to the fund as described in the chapter. For clarity, this proposed chapter will be titled “Arts and Culture Operating and Granting Policies.”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10,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515.348.6163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6, 2026</w:t>
            </w:r>
            <w:r>
              <w:br/>
            </w:r>
            <w:r>
              <w:rPr>
                <w:rFonts w:ascii="Times New Roman" w:hAnsi="Times New Roman"/>
                <w:b w:val="false"/>
                <w:i w:val="false"/>
                <w:color w:val="000000"/>
                <w:sz w:val="14"/>
              </w:rPr>
              <w:t xml:space="preserve"> 9 to 9:15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8, 2026</w:t>
            </w:r>
            <w:r>
              <w:br/>
            </w:r>
            <w:r>
              <w:rPr>
                <w:rFonts w:ascii="Times New Roman" w:hAnsi="Times New Roman"/>
                <w:b w:val="false"/>
                <w:i w:val="false"/>
                <w:color w:val="000000"/>
                <w:sz w:val="14"/>
              </w:rPr>
              <w:t xml:space="preserve"> 3 to 3:15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305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305</w:t>
      </w:r>
    </w:p>
    <w:p>
      <w:pPr>
        <w:spacing w:before="0" w:after="0" w:line="480"/>
        <w:ind w:left="120"/>
        <w:jc w:val="center"/>
      </w:pPr>
      <w:r>
        <w:rPr>
          <w:rFonts w:ascii="Times New Roman" w:hAnsi="Times New Roman"/>
          <w:b w:val="false"/>
          <w:i w:val="false"/>
          <w:color w:val="000000"/>
          <w:sz w:val="21"/>
        </w:rPr>
        <w:t>ARTS AND CULTURE OPERATING AND GRANTING POLICIES</w:t>
      </w:r>
    </w:p>
    <w:p>
      <w:pPr>
        <w:spacing w:before="0" w:after="0" w:line="480"/>
        <w:ind w:left="120"/>
        <w:jc w:val="both"/>
      </w:pPr>
      <w:r>
        <w:rPr>
          <w:rFonts w:ascii="Times New Roman" w:hAnsi="Times New Roman"/>
          <w:b/>
          <w:i w:val="false"/>
          <w:color w:val="000000"/>
          <w:sz w:val="24"/>
        </w:rPr>
        <w:t>261—305.1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“Advisory panel”</w:t>
      </w:r>
      <w:r>
        <w:rPr>
          <w:rFonts w:ascii="Times New Roman" w:hAnsi="Times New Roman"/>
          <w:b w:val="false"/>
          <w:i w:val="false"/>
          <w:color w:val="000000"/>
          <w:sz w:val="24"/>
        </w:rPr>
        <w:t> </w:t>
      </w:r>
      <w:r>
        <w:rPr>
          <w:rFonts w:ascii="Times New Roman" w:hAnsi="Times New Roman"/>
          <w:b w:val="false"/>
          <w:i w:val="false"/>
          <w:color w:val="000000"/>
          <w:sz w:val="24"/>
        </w:rPr>
        <w:t>means a group of citizens appointed by the authority to assist in any aspect of authority programs 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val="false"/>
          <w:color w:val="000000"/>
          <w:sz w:val="24"/>
        </w:rPr>
        <w:t> </w:t>
      </w:r>
      <w:r>
        <w:rPr>
          <w:rFonts w:ascii="Times New Roman" w:hAnsi="Times New Roman"/>
          <w:b w:val="false"/>
          <w:i w:val="false"/>
          <w:color w:val="000000"/>
          <w:sz w:val="24"/>
        </w:rPr>
        <w:t>means an eligible entity or individual applying for assistance under a program administered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“Application”</w:t>
      </w:r>
      <w:r>
        <w:rPr>
          <w:rFonts w:ascii="Times New Roman" w:hAnsi="Times New Roman"/>
          <w:b w:val="false"/>
          <w:i w:val="false"/>
          <w:color w:val="000000"/>
          <w:sz w:val="24"/>
        </w:rPr>
        <w:t> </w:t>
      </w:r>
      <w:r>
        <w:rPr>
          <w:rFonts w:ascii="Times New Roman" w:hAnsi="Times New Roman"/>
          <w:b w:val="false"/>
          <w:i w:val="false"/>
          <w:color w:val="000000"/>
          <w:sz w:val="24"/>
        </w:rPr>
        <w:t>means a formal request, using authority forms, for assistance from an eligible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“Artist”</w:t>
      </w:r>
      <w:r>
        <w:rPr>
          <w:rFonts w:ascii="Times New Roman" w:hAnsi="Times New Roman"/>
          <w:b w:val="false"/>
          <w:i w:val="false"/>
          <w:color w:val="000000"/>
          <w:sz w:val="24"/>
        </w:rPr>
        <w:t> </w:t>
      </w:r>
      <w:r>
        <w:rPr>
          <w:rFonts w:ascii="Times New Roman" w:hAnsi="Times New Roman"/>
          <w:b w:val="false"/>
          <w:i w:val="false"/>
          <w:color w:val="000000"/>
          <w:sz w:val="24"/>
        </w:rPr>
        <w:t>means an individual who spends a substantial amount of the individual’s time creating, practicing, performing, or producing an art form and regularly presents or is compensated for work in the individual’s art form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Iowa economic development authority created pursuant to Iowa Code section </w:t>
      </w:r>
      <w:hyperlink r:id="rId8">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“Border city”</w:t>
      </w:r>
      <w:r>
        <w:rPr>
          <w:rFonts w:ascii="Times New Roman" w:hAnsi="Times New Roman"/>
          <w:b w:val="false"/>
          <w:i w:val="false"/>
          <w:color w:val="000000"/>
          <w:sz w:val="24"/>
        </w:rPr>
        <w:t> </w:t>
      </w:r>
      <w:r>
        <w:rPr>
          <w:rFonts w:ascii="Times New Roman" w:hAnsi="Times New Roman"/>
          <w:b w:val="false"/>
          <w:i w:val="false"/>
          <w:color w:val="000000"/>
          <w:sz w:val="24"/>
        </w:rPr>
        <w:t>means a municipality with boundaries directly adjacent to one or more borders of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“Council”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Iowa arts council created pursuant to Iowa code section </w:t>
      </w:r>
      <w:hyperlink r:id="rId9">
        <w:r>
          <w:rPr>
            <w:rStyle w:val="Hyperlink"/>
            <w:rFonts w:ascii="Times New Roman" w:hAnsi="Times New Roman"/>
            <w:b w:val="false"/>
            <w:i w:val="false"/>
            <w:color w:val="000000"/>
            <w:sz w:val="24"/>
          </w:rPr>
          <w:t>15.465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“Deaccession”</w:t>
      </w:r>
      <w:r>
        <w:rPr>
          <w:rFonts w:ascii="Times New Roman" w:hAnsi="Times New Roman"/>
          <w:b w:val="false"/>
          <w:i w:val="false"/>
          <w:color w:val="000000"/>
          <w:sz w:val="24"/>
        </w:rPr>
        <w:t> </w:t>
      </w:r>
      <w:r>
        <w:rPr>
          <w:rFonts w:ascii="Times New Roman" w:hAnsi="Times New Roman"/>
          <w:b w:val="false"/>
          <w:i w:val="false"/>
          <w:color w:val="000000"/>
          <w:sz w:val="24"/>
        </w:rPr>
        <w:t>means the act of removing a work of art from the authority’s or council’s collection or inventory.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“Domicile”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rule </w:t>
      </w:r>
      <w:hyperlink r:id="rId10">
        <w:r>
          <w:rPr>
            <w:rStyle w:val="Hyperlink"/>
            <w:rFonts w:ascii="Times New Roman" w:hAnsi="Times New Roman"/>
            <w:b w:val="false"/>
            <w:i w:val="false"/>
            <w:color w:val="000000"/>
            <w:sz w:val="24"/>
          </w:rPr>
          <w:t>701—300.17</w:t>
        </w:r>
      </w:hyperlink>
      <w:r>
        <w:rPr>
          <w:rFonts w:ascii="Times New Roman" w:hAnsi="Times New Roman"/>
          <w:b w:val="false"/>
          <w:i w:val="false"/>
          <w:color w:val="000000"/>
          <w:sz w:val="24"/>
        </w:rPr>
        <w:t xml:space="preserve">(422).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means the director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“Permanent place of abode”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rule </w:t>
      </w:r>
      <w:hyperlink r:id="rId11">
        <w:r>
          <w:rPr>
            <w:rStyle w:val="Hyperlink"/>
            <w:rFonts w:ascii="Times New Roman" w:hAnsi="Times New Roman"/>
            <w:b w:val="false"/>
            <w:i w:val="false"/>
            <w:color w:val="000000"/>
            <w:sz w:val="24"/>
          </w:rPr>
          <w:t>701—300.17</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“Project”</w:t>
      </w:r>
      <w:r>
        <w:rPr>
          <w:rFonts w:ascii="Times New Roman" w:hAnsi="Times New Roman"/>
          <w:b w:val="false"/>
          <w:i w:val="false"/>
          <w:color w:val="000000"/>
          <w:sz w:val="24"/>
        </w:rPr>
        <w:t> </w:t>
      </w:r>
      <w:r>
        <w:rPr>
          <w:rFonts w:ascii="Times New Roman" w:hAnsi="Times New Roman"/>
          <w:b w:val="false"/>
          <w:i w:val="false"/>
          <w:color w:val="000000"/>
          <w:sz w:val="24"/>
        </w:rPr>
        <w:t>means an eligible activity for which an organization or individual has submitted an application for grant funds for authority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“Project partner”</w:t>
      </w:r>
      <w:r>
        <w:rPr>
          <w:rFonts w:ascii="Times New Roman" w:hAnsi="Times New Roman"/>
          <w:b w:val="false"/>
          <w:i w:val="false"/>
          <w:color w:val="000000"/>
          <w:sz w:val="24"/>
        </w:rPr>
        <w:t> </w:t>
      </w:r>
      <w:r>
        <w:rPr>
          <w:rFonts w:ascii="Times New Roman" w:hAnsi="Times New Roman"/>
          <w:b w:val="false"/>
          <w:i w:val="false"/>
          <w:color w:val="000000"/>
          <w:sz w:val="24"/>
        </w:rPr>
        <w:t>means an organization that meets the definition of “applicant”; plays an active, substantial, and ongoing role in the planning, implementation, or oversight of the project; and is not serving solely as a pass-through entity or administrator of grant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“Recipient”</w:t>
      </w:r>
      <w:r>
        <w:rPr>
          <w:rFonts w:ascii="Times New Roman" w:hAnsi="Times New Roman"/>
          <w:b w:val="false"/>
          <w:i w:val="false"/>
          <w:color w:val="000000"/>
          <w:sz w:val="24"/>
        </w:rPr>
        <w:t> </w:t>
      </w:r>
      <w:r>
        <w:rPr>
          <w:rFonts w:ascii="Times New Roman" w:hAnsi="Times New Roman"/>
          <w:b w:val="false"/>
          <w:i w:val="false"/>
          <w:color w:val="000000"/>
          <w:sz w:val="24"/>
        </w:rPr>
        <w:t>means any applicant receiving funds from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“Work of art”</w:t>
      </w:r>
      <w:r>
        <w:rPr>
          <w:rFonts w:ascii="Times New Roman" w:hAnsi="Times New Roman"/>
          <w:b w:val="false"/>
          <w:i w:val="false"/>
          <w:color w:val="000000"/>
          <w:sz w:val="24"/>
        </w:rPr>
        <w:t> </w:t>
      </w:r>
      <w:r>
        <w:rPr>
          <w:rFonts w:ascii="Times New Roman" w:hAnsi="Times New Roman"/>
          <w:b w:val="false"/>
          <w:i w:val="false"/>
          <w:color w:val="000000"/>
          <w:sz w:val="24"/>
        </w:rPr>
        <w:t>means original or limited‑edition tangible creative work that is created primarily for aesthetic, cultural, or expressive purposes and that has recognized artistic, historical, or educational value.</w:t>
      </w:r>
    </w:p>
    <w:p>
      <w:pPr>
        <w:spacing w:before="210" w:after="0" w:line="480"/>
        <w:ind w:left="120"/>
        <w:jc w:val="both"/>
      </w:pPr>
      <w:r>
        <w:rPr>
          <w:rFonts w:ascii="Times New Roman" w:hAnsi="Times New Roman"/>
          <w:b/>
          <w:i w:val="false"/>
          <w:color w:val="000000"/>
          <w:sz w:val="24"/>
        </w:rPr>
        <w:t>261—305.2</w:t>
      </w:r>
      <w:r>
        <w:rPr>
          <w:rFonts w:ascii="Times New Roman" w:hAnsi="Times New Roman"/>
          <w:b/>
          <w:i w:val="false"/>
          <w:color w:val="000000"/>
          <w:sz w:val="24"/>
        </w:rPr>
        <w:t xml:space="preserve">(15) </w:t>
      </w:r>
      <w:r>
        <w:rPr>
          <w:rFonts w:ascii="Times New Roman" w:hAnsi="Times New Roman"/>
          <w:b/>
          <w:i w:val="false"/>
          <w:color w:val="000000"/>
          <w:sz w:val="24"/>
        </w:rPr>
        <w:t xml:space="preserve">Location of council. </w:t>
      </w:r>
      <w:r>
        <w:rPr>
          <w:rFonts w:ascii="Times New Roman" w:hAnsi="Times New Roman"/>
          <w:b w:val="false"/>
          <w:i w:val="false"/>
          <w:color w:val="000000"/>
          <w:sz w:val="24"/>
        </w:rPr>
        <w:t>The office of the council is located at the Iowa Economic Development Authority, 1963 Bell Avenue, Suite 200, Des Moines, Iowa 50315. Regular office hours are 8 a.m. to 4:30 p.m., Monday through Friday, state holidays excepted.</w:t>
      </w:r>
    </w:p>
    <w:p>
      <w:pPr>
        <w:spacing w:before="0" w:after="0" w:line="480"/>
        <w:ind w:left="120"/>
        <w:jc w:val="both"/>
      </w:pPr>
      <w:r>
        <w:rPr>
          <w:rFonts w:ascii="Times New Roman" w:hAnsi="Times New Roman"/>
          <w:b/>
          <w:i w:val="false"/>
          <w:color w:val="000000"/>
          <w:sz w:val="24"/>
        </w:rPr>
        <w:t>261—305.3</w:t>
      </w:r>
      <w:r>
        <w:rPr>
          <w:rFonts w:ascii="Times New Roman" w:hAnsi="Times New Roman"/>
          <w:b/>
          <w:i w:val="false"/>
          <w:color w:val="000000"/>
          <w:sz w:val="24"/>
        </w:rPr>
        <w:t xml:space="preserve">(15) </w:t>
      </w:r>
      <w:r>
        <w:rPr>
          <w:rFonts w:ascii="Times New Roman" w:hAnsi="Times New Roman"/>
          <w:b/>
          <w:i w:val="false"/>
          <w:color w:val="000000"/>
          <w:sz w:val="24"/>
        </w:rPr>
        <w:t xml:space="preserve">Council statement on freedom of expression. </w:t>
      </w:r>
      <w:r>
        <w:rPr>
          <w:rFonts w:ascii="Times New Roman" w:hAnsi="Times New Roman"/>
          <w:b w:val="false"/>
          <w:i w:val="false"/>
          <w:color w:val="000000"/>
          <w:sz w:val="24"/>
        </w:rPr>
        <w:t>The council adopts the following mission statement regarding freedom of expression:</w:t>
      </w:r>
    </w:p>
    <w:p>
      <w:pPr>
        <w:spacing w:before="0" w:after="0" w:line="480"/>
        <w:ind w:left="120"/>
        <w:jc w:val="both"/>
      </w:pPr>
      <w:r>
        <w:rPr>
          <w:rFonts w:ascii="Times New Roman" w:hAnsi="Times New Roman"/>
          <w:b w:val="false"/>
          <w:i w:val="false"/>
          <w:color w:val="000000"/>
          <w:sz w:val="24"/>
        </w:rPr>
        <w:t>“The mission of the Iowa arts council is to advance the arts in Iowa for the benefit of all. Support of free speech is the centerpiece of this mission. The council is an advocate for and defender of the right of free speech by all citizens under the First Amendment of the Constitution of the United States. </w:t>
      </w:r>
    </w:p>
    <w:p>
      <w:pPr>
        <w:spacing w:before="0" w:after="0" w:line="480"/>
        <w:ind w:left="120"/>
        <w:jc w:val="both"/>
      </w:pPr>
      <w:r>
        <w:rPr>
          <w:rFonts w:ascii="Times New Roman" w:hAnsi="Times New Roman"/>
          <w:b w:val="false"/>
          <w:i w:val="false"/>
          <w:color w:val="000000"/>
          <w:sz w:val="24"/>
        </w:rPr>
        <w:t>“The council recognizes the need for public support of the arts and understands the responsibilities that accompany the allocation of public funds. The council seeks the advice of qualified Iowans through the use of advisory panels for funding recommendations. The council is committed to uphold and maintain the highest artistic standards and to encourage excellence in the arts. </w:t>
      </w:r>
    </w:p>
    <w:p>
      <w:pPr>
        <w:spacing w:before="0" w:after="0" w:line="480"/>
        <w:ind w:left="120"/>
        <w:jc w:val="both"/>
      </w:pPr>
      <w:r>
        <w:rPr>
          <w:rFonts w:ascii="Times New Roman" w:hAnsi="Times New Roman"/>
          <w:b w:val="false"/>
          <w:i w:val="false"/>
          <w:color w:val="000000"/>
          <w:sz w:val="24"/>
        </w:rPr>
        <w:t>“The council respects the integrity of an artist’s personal vision and right to freedom of expression. The council rejects all attempts to control or censor the arts. Recognizing the diversity of viewpoints represented by Iowa communities, the council supports freedom of choice and access to the arts by all citizens.”</w:t>
      </w:r>
    </w:p>
    <w:p>
      <w:pPr>
        <w:spacing w:before="0" w:after="0" w:line="480"/>
        <w:ind w:left="120"/>
        <w:jc w:val="both"/>
      </w:pPr>
      <w:r>
        <w:rPr>
          <w:rFonts w:ascii="Times New Roman" w:hAnsi="Times New Roman"/>
          <w:b/>
          <w:i w:val="false"/>
          <w:color w:val="000000"/>
          <w:sz w:val="24"/>
        </w:rPr>
        <w:t>261—305.4</w:t>
      </w:r>
      <w:r>
        <w:rPr>
          <w:rFonts w:ascii="Times New Roman" w:hAnsi="Times New Roman"/>
          <w:b/>
          <w:i w:val="false"/>
          <w:color w:val="000000"/>
          <w:sz w:val="24"/>
        </w:rPr>
        <w:t xml:space="preserve">(15) </w:t>
      </w:r>
      <w:r>
        <w:rPr>
          <w:rFonts w:ascii="Times New Roman" w:hAnsi="Times New Roman"/>
          <w:b/>
          <w:i w:val="false"/>
          <w:color w:val="000000"/>
          <w:sz w:val="24"/>
        </w:rPr>
        <w:t xml:space="preserve">Funding policies. </w:t>
      </w:r>
      <w:r>
        <w:rPr>
          <w:rFonts w:ascii="Times New Roman" w:hAnsi="Times New Roman"/>
          <w:b w:val="false"/>
          <w:i w:val="false"/>
          <w:color w:val="000000"/>
          <w:sz w:val="24"/>
        </w:rPr>
        <w:t>The following policies apply to arts programs administered by the authority except where otherwise noted in program-specific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305.4(1)</w:t>
      </w:r>
      <w:r>
        <w:rPr>
          <w:rFonts w:ascii="Times New Roman" w:hAnsi="Times New Roman"/>
          <w:b w:val="false"/>
          <w:i w:val="false"/>
          <w:color w:val="000000"/>
          <w:sz w:val="24"/>
        </w:rPr>
        <w:t> </w:t>
      </w:r>
      <w:r>
        <w:rPr>
          <w:rFonts w:ascii="Times New Roman" w:hAnsi="Times New Roman"/>
          <w:b w:val="false"/>
          <w:i w:val="false"/>
          <w:color w:val="000000"/>
          <w:sz w:val="24"/>
        </w:rPr>
        <w:t>A nonprofit organization that has not yet achieved federal tax-exempt status may apply through a project partner.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305.4(2)</w:t>
      </w:r>
      <w:r>
        <w:rPr>
          <w:rFonts w:ascii="Times New Roman" w:hAnsi="Times New Roman"/>
          <w:b w:val="false"/>
          <w:i w:val="false"/>
          <w:color w:val="000000"/>
          <w:sz w:val="24"/>
        </w:rPr>
        <w:t> </w:t>
      </w:r>
      <w:r>
        <w:rPr>
          <w:rFonts w:ascii="Times New Roman" w:hAnsi="Times New Roman"/>
          <w:b w:val="false"/>
          <w:i w:val="false"/>
          <w:color w:val="000000"/>
          <w:sz w:val="24"/>
        </w:rPr>
        <w:t>A tax-exempt, nonprofit organization located in a border city shall be eligible to apply to the authority for projects that serve Iowa audiences.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305.4(3)</w:t>
      </w:r>
      <w:r>
        <w:rPr>
          <w:rFonts w:ascii="Times New Roman" w:hAnsi="Times New Roman"/>
          <w:b w:val="false"/>
          <w:i w:val="false"/>
          <w:color w:val="000000"/>
          <w:sz w:val="24"/>
        </w:rPr>
        <w:t> </w:t>
      </w:r>
      <w:r>
        <w:rPr>
          <w:rFonts w:ascii="Times New Roman" w:hAnsi="Times New Roman"/>
          <w:b w:val="false"/>
          <w:i w:val="false"/>
          <w:color w:val="000000"/>
          <w:sz w:val="24"/>
        </w:rPr>
        <w:t>An individual applying for and receiving grant funds shall be 18 years of age or older; be a United States citizen, possess a Permanent Resident Card, or be in the process of obtaining a Permanent Resident Card; and be a full-time Iowa resident domiciled in Iowa or maintaining a permanent place of abode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305.4(4)</w:t>
      </w:r>
      <w:r>
        <w:rPr>
          <w:rFonts w:ascii="Times New Roman" w:hAnsi="Times New Roman"/>
          <w:b w:val="false"/>
          <w:i w:val="false"/>
          <w:color w:val="000000"/>
          <w:sz w:val="24"/>
        </w:rPr>
        <w:t> </w:t>
      </w:r>
      <w:r>
        <w:rPr>
          <w:rFonts w:ascii="Times New Roman" w:hAnsi="Times New Roman"/>
          <w:b w:val="false"/>
          <w:i w:val="false"/>
          <w:color w:val="000000"/>
          <w:sz w:val="24"/>
        </w:rPr>
        <w:t>An application from an individual must support a project designed solely to benefit the individual and must not be a project of an organization with which the individual applicant has a formal affiliation such as employment or continued volunteer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305.4(5)</w:t>
      </w:r>
      <w:r>
        <w:rPr>
          <w:rFonts w:ascii="Times New Roman" w:hAnsi="Times New Roman"/>
          <w:b w:val="false"/>
          <w:i w:val="false"/>
          <w:color w:val="000000"/>
          <w:sz w:val="24"/>
        </w:rPr>
        <w:t> </w:t>
      </w:r>
      <w:r>
        <w:rPr>
          <w:rFonts w:ascii="Times New Roman" w:hAnsi="Times New Roman"/>
          <w:b w:val="false"/>
          <w:i w:val="false"/>
          <w:color w:val="000000"/>
          <w:sz w:val="24"/>
        </w:rPr>
        <w:t>No authority funds shall be used by a recipient to meet the recipient’s obligation to provide matching funds for any other authority grants or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305.4(6)</w:t>
      </w:r>
      <w:r>
        <w:rPr>
          <w:rFonts w:ascii="Times New Roman" w:hAnsi="Times New Roman"/>
          <w:b w:val="false"/>
          <w:i w:val="false"/>
          <w:color w:val="000000"/>
          <w:sz w:val="24"/>
        </w:rPr>
        <w:t> </w:t>
      </w:r>
      <w:r>
        <w:rPr>
          <w:rFonts w:ascii="Times New Roman" w:hAnsi="Times New Roman"/>
          <w:b w:val="false"/>
          <w:i w:val="false"/>
          <w:color w:val="000000"/>
          <w:sz w:val="24"/>
        </w:rPr>
        <w:t>The authority shall not consider an application for funding a previous year’s deficit.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305.4(7)</w:t>
      </w:r>
      <w:r>
        <w:rPr>
          <w:rFonts w:ascii="Times New Roman" w:hAnsi="Times New Roman"/>
          <w:b w:val="false"/>
          <w:i w:val="false"/>
          <w:color w:val="000000"/>
          <w:sz w:val="24"/>
        </w:rPr>
        <w:t> </w:t>
      </w:r>
      <w:r>
        <w:rPr>
          <w:rFonts w:ascii="Times New Roman" w:hAnsi="Times New Roman"/>
          <w:b w:val="false"/>
          <w:i w:val="false"/>
          <w:color w:val="000000"/>
          <w:sz w:val="24"/>
        </w:rPr>
        <w:t>A recipient shall not utilize authority funds for any lobbying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305.4(8)</w:t>
      </w:r>
      <w:r>
        <w:rPr>
          <w:rFonts w:ascii="Times New Roman" w:hAnsi="Times New Roman"/>
          <w:b w:val="false"/>
          <w:i w:val="false"/>
          <w:color w:val="000000"/>
          <w:sz w:val="24"/>
        </w:rPr>
        <w:t> </w:t>
      </w:r>
      <w:r>
        <w:rPr>
          <w:rFonts w:ascii="Times New Roman" w:hAnsi="Times New Roman"/>
          <w:b w:val="false"/>
          <w:i w:val="false"/>
          <w:color w:val="000000"/>
          <w:sz w:val="24"/>
        </w:rPr>
        <w:t>Applicants that have received grants, loans, or other incentives through an authority program that are not in compliance with reporting or other requirements in connection therewith are not eligible to apply for new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305.4(9)</w:t>
      </w:r>
      <w:r>
        <w:rPr>
          <w:rFonts w:ascii="Times New Roman" w:hAnsi="Times New Roman"/>
          <w:b w:val="false"/>
          <w:i w:val="false"/>
          <w:color w:val="000000"/>
          <w:sz w:val="24"/>
        </w:rPr>
        <w:t> </w:t>
      </w:r>
      <w:r>
        <w:rPr>
          <w:rFonts w:ascii="Times New Roman" w:hAnsi="Times New Roman"/>
          <w:b w:val="false"/>
          <w:i w:val="false"/>
          <w:color w:val="000000"/>
          <w:sz w:val="24"/>
        </w:rPr>
        <w:t>The authority may find an applicant ineligible for funding if the applicant has a record of violations of the law that over a period of time tends to show a consistent pattern or that establishes intentional, criminal, or reckless conduct in violation of such laws.</w:t>
      </w:r>
    </w:p>
    <w:p>
      <w:pPr>
        <w:spacing w:before="0" w:after="0" w:line="480"/>
        <w:ind w:left="120"/>
        <w:jc w:val="both"/>
      </w:pPr>
      <w:r>
        <w:rPr>
          <w:rFonts w:ascii="Times New Roman" w:hAnsi="Times New Roman"/>
          <w:b/>
          <w:i w:val="false"/>
          <w:color w:val="000000"/>
          <w:sz w:val="24"/>
        </w:rPr>
        <w:t>261—305.5</w:t>
      </w:r>
      <w:r>
        <w:rPr>
          <w:rFonts w:ascii="Times New Roman" w:hAnsi="Times New Roman"/>
          <w:b/>
          <w:i w:val="false"/>
          <w:color w:val="000000"/>
          <w:sz w:val="24"/>
        </w:rPr>
        <w:t xml:space="preserve">(15) </w:t>
      </w:r>
      <w:r>
        <w:rPr>
          <w:rFonts w:ascii="Times New Roman" w:hAnsi="Times New Roman"/>
          <w:b/>
          <w:i w:val="false"/>
          <w:color w:val="000000"/>
          <w:sz w:val="24"/>
        </w:rPr>
        <w:t xml:space="preserve">Review and selection process. </w:t>
      </w:r>
      <w:r>
        <w:rPr>
          <w:rFonts w:ascii="Times New Roman" w:hAnsi="Times New Roman"/>
          <w:b w:val="false"/>
          <w:i w:val="false"/>
          <w:color w:val="000000"/>
          <w:sz w:val="24"/>
        </w:rPr>
        <w:t>The following subrules apply to arts programs administered by the authority except where otherwise noted in program-specific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305.5(1)</w:t>
      </w:r>
      <w:r>
        <w:rPr>
          <w:rFonts w:ascii="Times New Roman" w:hAnsi="Times New Roman"/>
          <w:b w:val="false"/>
          <w:i w:val="false"/>
          <w:color w:val="000000"/>
          <w:sz w:val="24"/>
        </w:rPr>
        <w:t> </w:t>
      </w:r>
      <w:r>
        <w:rPr>
          <w:rFonts w:ascii="Times New Roman" w:hAnsi="Times New Roman"/>
          <w:b w:val="false"/>
          <w:i w:val="false"/>
          <w:color w:val="000000"/>
          <w:sz w:val="24"/>
        </w:rPr>
        <w:t xml:space="preserve">Submitted applications will be reviewed by authority staff for completeness and eligibility. Applications or applicants determined to be incomplete or ineligible will not advance to further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305.5(2)</w:t>
      </w:r>
      <w:r>
        <w:rPr>
          <w:rFonts w:ascii="Times New Roman" w:hAnsi="Times New Roman"/>
          <w:b w:val="false"/>
          <w:i w:val="false"/>
          <w:color w:val="000000"/>
          <w:sz w:val="24"/>
        </w:rPr>
        <w:t> </w:t>
      </w:r>
      <w:r>
        <w:rPr>
          <w:rFonts w:ascii="Times New Roman" w:hAnsi="Times New Roman"/>
          <w:b w:val="false"/>
          <w:i w:val="false"/>
          <w:color w:val="000000"/>
          <w:sz w:val="24"/>
        </w:rPr>
        <w:t>Applications determined to be eligible and complete will be referred for review by an advisory panel. Applications will be evaluated, scored, and ranked in accordance with published review criteria or scoring rubric.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305.5(3)</w:t>
      </w:r>
      <w:r>
        <w:rPr>
          <w:rFonts w:ascii="Times New Roman" w:hAnsi="Times New Roman"/>
          <w:b w:val="false"/>
          <w:i w:val="false"/>
          <w:color w:val="000000"/>
          <w:sz w:val="24"/>
        </w:rPr>
        <w:t> </w:t>
      </w:r>
      <w:r>
        <w:rPr>
          <w:rFonts w:ascii="Times New Roman" w:hAnsi="Times New Roman"/>
          <w:b w:val="false"/>
          <w:i w:val="false"/>
          <w:color w:val="000000"/>
          <w:sz w:val="24"/>
        </w:rPr>
        <w:t>Applications recommended by an advisory panel for funding consideration will be submitted to the director for consideration and approval. Recommendations by an advisory panel are advisory, and final funding authority rests with the director or the director’s designee.</w:t>
      </w:r>
    </w:p>
    <w:p>
      <w:pPr>
        <w:spacing w:before="0" w:after="0" w:line="480"/>
        <w:ind w:left="120"/>
        <w:jc w:val="both"/>
      </w:pPr>
      <w:r>
        <w:rPr>
          <w:rFonts w:ascii="Times New Roman" w:hAnsi="Times New Roman"/>
          <w:b/>
          <w:i w:val="false"/>
          <w:color w:val="000000"/>
          <w:sz w:val="24"/>
        </w:rPr>
        <w:t>261—305.6</w:t>
      </w:r>
      <w:r>
        <w:rPr>
          <w:rFonts w:ascii="Times New Roman" w:hAnsi="Times New Roman"/>
          <w:b/>
          <w:i w:val="false"/>
          <w:color w:val="000000"/>
          <w:sz w:val="24"/>
        </w:rPr>
        <w:t xml:space="preserve">(15) </w:t>
      </w:r>
      <w:r>
        <w:rPr>
          <w:rFonts w:ascii="Times New Roman" w:hAnsi="Times New Roman"/>
          <w:b/>
          <w:i w:val="false"/>
          <w:color w:val="000000"/>
          <w:sz w:val="24"/>
        </w:rPr>
        <w:t xml:space="preserve">Deaccession. </w:t>
      </w:r>
      <w:r>
        <w:rPr>
          <w:rFonts w:ascii="Times New Roman" w:hAnsi="Times New Roman"/>
          <w:b w:val="false"/>
          <w:i w:val="false"/>
          <w:color w:val="000000"/>
          <w:sz w:val="24"/>
        </w:rPr>
        <w:t>The following policies apply to deaccession of all works of art in the authority’s or council’s collection or inventory, including works of art acquired through purchase, donation, commission, grant-funded acquisition, or transfer from a government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305.6(1)</w:t>
      </w:r>
      <w:r>
        <w:rPr>
          <w:rFonts w:ascii="Times New Roman" w:hAnsi="Times New Roman"/>
          <w:b w:val="false"/>
          <w:i w:val="false"/>
          <w:color w:val="000000"/>
          <w:sz w:val="24"/>
        </w:rPr>
        <w:t> </w:t>
      </w:r>
      <w:r>
        <w:rPr>
          <w:rFonts w:ascii="Times New Roman" w:hAnsi="Times New Roman"/>
          <w:b w:val="false"/>
          <w:i/>
          <w:color w:val="000000"/>
          <w:sz w:val="24"/>
        </w:rPr>
        <w:t xml:space="preserve">Criteria. </w:t>
      </w:r>
      <w:r>
        <w:rPr>
          <w:rFonts w:ascii="Times New Roman" w:hAnsi="Times New Roman"/>
          <w:b w:val="false"/>
          <w:i w:val="false"/>
          <w:color w:val="000000"/>
          <w:sz w:val="24"/>
        </w:rPr>
        <w:t>A work of art may be deaccessioned if one or more of the following criteria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It is outside the scope of the authority’s or council’s mission or statutory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It is damaged, deteriorated, or no longer capable of being reasonably preserved.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It is duplicative and the additional copy has no unique historical, artistic, or interpretive value.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It poses a risk to persons, other works of art, or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Its retention would violate donor restrictions or applicable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It has minimal cultural, artistic, or educational value relative to stewardship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305.6(2)</w:t>
      </w:r>
      <w:r>
        <w:rPr>
          <w:rFonts w:ascii="Times New Roman" w:hAnsi="Times New Roman"/>
          <w:b w:val="false"/>
          <w:i w:val="false"/>
          <w:color w:val="000000"/>
          <w:sz w:val="24"/>
        </w:rPr>
        <w:t> </w:t>
      </w:r>
      <w:r>
        <w:rPr>
          <w:rFonts w:ascii="Times New Roman" w:hAnsi="Times New Roman"/>
          <w:b w:val="false"/>
          <w:i/>
          <w:color w:val="000000"/>
          <w:sz w:val="24"/>
        </w:rPr>
        <w:t xml:space="preserve">Methods of disposal. </w:t>
      </w:r>
      <w:r>
        <w:rPr>
          <w:rFonts w:ascii="Times New Roman" w:hAnsi="Times New Roman"/>
          <w:b w:val="false"/>
          <w:i w:val="false"/>
          <w:color w:val="000000"/>
          <w:sz w:val="24"/>
        </w:rPr>
        <w:t>Following deaccession, disposal may occur by any of the following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Donation or transfer to, or exchange with, an organization that has a recognized mission, capacity, and legal authority to accept and care for works of art in a responsible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Sale, including public auction or negotiated sale, in compliance with applicable Iowa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Destruction, when the work of art has no monetary, cultural, or educational value or poses a safety or preservation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305.6(3)</w:t>
      </w:r>
      <w:r>
        <w:rPr>
          <w:rFonts w:ascii="Times New Roman" w:hAnsi="Times New Roman"/>
          <w:b w:val="false"/>
          <w:i w:val="false"/>
          <w:color w:val="000000"/>
          <w:sz w:val="24"/>
        </w:rPr>
        <w:t> </w:t>
      </w:r>
      <w:r>
        <w:rPr>
          <w:rFonts w:ascii="Times New Roman" w:hAnsi="Times New Roman"/>
          <w:b w:val="false"/>
          <w:i/>
          <w:color w:val="000000"/>
          <w:sz w:val="24"/>
        </w:rPr>
        <w:t xml:space="preserve">Proposal. </w:t>
      </w:r>
      <w:r>
        <w:rPr>
          <w:rFonts w:ascii="Times New Roman" w:hAnsi="Times New Roman"/>
          <w:b w:val="false"/>
          <w:i w:val="false"/>
          <w:color w:val="000000"/>
          <w:sz w:val="24"/>
        </w:rPr>
        <w:t>Deaccession shall be initiated by a written proposal prepared by authority staff and submitted to the director. The proposal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Description and provenance of the work of art.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Reasons for deaccession.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donor restrictions.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Recommended method of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Assessment of public, historical, or cultural impact.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305.6(4)</w:t>
      </w:r>
      <w:r>
        <w:rPr>
          <w:rFonts w:ascii="Times New Roman" w:hAnsi="Times New Roman"/>
          <w:b w:val="false"/>
          <w:i w:val="false"/>
          <w:color w:val="000000"/>
          <w:sz w:val="24"/>
        </w:rPr>
        <w:t> </w:t>
      </w:r>
      <w:r>
        <w:rPr>
          <w:rFonts w:ascii="Times New Roman" w:hAnsi="Times New Roman"/>
          <w:b w:val="false"/>
          <w:i/>
          <w:color w:val="000000"/>
          <w:sz w:val="24"/>
        </w:rPr>
        <w:t xml:space="preserve">Director approval. </w:t>
      </w:r>
      <w:r>
        <w:rPr>
          <w:rFonts w:ascii="Times New Roman" w:hAnsi="Times New Roman"/>
          <w:b w:val="false"/>
          <w:i w:val="false"/>
          <w:color w:val="000000"/>
          <w:sz w:val="24"/>
        </w:rPr>
        <w:t xml:space="preserve">Deaccession may only occur with written approval by the director. The director may approve, deny, or require modification of the staff’s proposal.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305.6(5)</w:t>
      </w:r>
      <w:r>
        <w:rPr>
          <w:rFonts w:ascii="Times New Roman" w:hAnsi="Times New Roman"/>
          <w:b w:val="false"/>
          <w:i w:val="false"/>
          <w:color w:val="000000"/>
          <w:sz w:val="24"/>
        </w:rPr>
        <w:t> </w:t>
      </w:r>
      <w:r>
        <w:rPr>
          <w:rFonts w:ascii="Times New Roman" w:hAnsi="Times New Roman"/>
          <w:b w:val="false"/>
          <w:i/>
          <w:color w:val="000000"/>
          <w:sz w:val="24"/>
        </w:rPr>
        <w:t xml:space="preserve">Public notice. </w:t>
      </w:r>
      <w:r>
        <w:rPr>
          <w:rFonts w:ascii="Times New Roman" w:hAnsi="Times New Roman"/>
          <w:b w:val="false"/>
          <w:i w:val="false"/>
          <w:color w:val="000000"/>
          <w:sz w:val="24"/>
        </w:rPr>
        <w:t>Prior to final disposal, the authority shall provide public notice by posting on the authority’s website for not less than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305.6(6)</w:t>
      </w:r>
      <w:r>
        <w:rPr>
          <w:rFonts w:ascii="Times New Roman" w:hAnsi="Times New Roman"/>
          <w:b w:val="false"/>
          <w:i w:val="false"/>
          <w:color w:val="000000"/>
          <w:sz w:val="24"/>
        </w:rPr>
        <w:t> </w:t>
      </w:r>
      <w:r>
        <w:rPr>
          <w:rFonts w:ascii="Times New Roman" w:hAnsi="Times New Roman"/>
          <w:b w:val="false"/>
          <w:i/>
          <w:color w:val="000000"/>
          <w:sz w:val="24"/>
        </w:rPr>
        <w:t xml:space="preserve">Recordkeeping. </w:t>
      </w:r>
      <w:r>
        <w:rPr>
          <w:rFonts w:ascii="Times New Roman" w:hAnsi="Times New Roman"/>
          <w:b w:val="false"/>
          <w:i w:val="false"/>
          <w:color w:val="000000"/>
          <w:sz w:val="24"/>
        </w:rPr>
        <w:t>In accordance with Iowa law, the authority shall maintain records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Deaccessioned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Approval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Method of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restrictions on use of proceeds.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305.6(7)</w:t>
      </w:r>
      <w:r>
        <w:rPr>
          <w:rFonts w:ascii="Times New Roman" w:hAnsi="Times New Roman"/>
          <w:b w:val="false"/>
          <w:i w:val="false"/>
          <w:color w:val="000000"/>
          <w:sz w:val="24"/>
        </w:rPr>
        <w:t> </w:t>
      </w:r>
      <w:r>
        <w:rPr>
          <w:rFonts w:ascii="Times New Roman" w:hAnsi="Times New Roman"/>
          <w:b w:val="false"/>
          <w:i/>
          <w:color w:val="000000"/>
          <w:sz w:val="24"/>
        </w:rPr>
        <w:t xml:space="preserve">Limitations. </w:t>
      </w:r>
      <w:r>
        <w:rPr>
          <w:rFonts w:ascii="Times New Roman" w:hAnsi="Times New Roman"/>
          <w:b w:val="false"/>
          <w:i w:val="false"/>
          <w:color w:val="000000"/>
          <w:sz w:val="24"/>
        </w:rPr>
        <w:t xml:space="preserve">Ownership of deaccessioned works of art shall not be transferred to or benefit any employee, officer, or board member of the authority or any immediate family member thereof.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305.6(8)</w:t>
      </w:r>
      <w:r>
        <w:rPr>
          <w:rFonts w:ascii="Times New Roman" w:hAnsi="Times New Roman"/>
          <w:b w:val="false"/>
          <w:i w:val="false"/>
          <w:color w:val="000000"/>
          <w:sz w:val="24"/>
        </w:rPr>
        <w:t> </w:t>
      </w:r>
      <w:r>
        <w:rPr>
          <w:rFonts w:ascii="Times New Roman" w:hAnsi="Times New Roman"/>
          <w:b w:val="false"/>
          <w:i/>
          <w:color w:val="000000"/>
          <w:sz w:val="24"/>
        </w:rPr>
        <w:t xml:space="preserve">Use of proceeds. </w:t>
      </w:r>
      <w:r>
        <w:rPr>
          <w:rFonts w:ascii="Times New Roman" w:hAnsi="Times New Roman"/>
          <w:b w:val="false"/>
          <w:i w:val="false"/>
          <w:color w:val="000000"/>
          <w:sz w:val="24"/>
        </w:rPr>
        <w:t>Proceeds derived from the disposal of deaccessioned works of art shall be deposited in the state of Iowa treasury or otherwise handled as required by applicable Iowa law.</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2">
        <w:r>
          <w:rPr>
            <w:rStyle w:val="Hyperlink"/>
            <w:rFonts w:ascii="Times New Roman" w:hAnsi="Times New Roman"/>
            <w:b w:val="false"/>
            <w:i w:val="false"/>
            <w:color w:val="000000"/>
            <w:sz w:val="24"/>
          </w:rPr>
          <w:t>15.436</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15.465 through 15.467</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co/chapter/15.465.pdf" Type="http://schemas.openxmlformats.org/officeDocument/2006/relationships/hyperlink" Id="rId9"/>
    <Relationship TargetMode="External" Target="https://www.legis.iowa.gov/docs/iac/rule/701.300.17.pdf" Type="http://schemas.openxmlformats.org/officeDocument/2006/relationships/hyperlink" Id="rId10"/>
    <Relationship TargetMode="External" Target="https://www.legis.iowa.gov/docs/iac/rule/701.300.17.pdf" Type="http://schemas.openxmlformats.org/officeDocument/2006/relationships/hyperlink" Id="rId11"/>
    <Relationship TargetMode="External" Target="https://www.legis.iowa.gov/docs/ico/chapter/15.436.pdf" Type="http://schemas.openxmlformats.org/officeDocument/2006/relationships/hyperlink" Id="rId12"/>
    <Relationship TargetMode="External" Target="https://www.legis.iowa.gov/docs/ico/chapter/15.465-467.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