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6D" w:id="1"/>
    <w:p>
      <w:pPr>
        <w:spacing w:before="0" w:after="0" w:line="480"/>
        <w:ind w:left="120"/>
        <w:jc w:val="right"/>
      </w:pPr>
      <w:r>
        <w:rPr>
          <w:rFonts w:ascii="Times New Roman" w:hAnsi="Times New Roman"/>
          <w:b/>
          <w:i w:val="false"/>
          <w:color w:val="000000"/>
          <w:sz w:val="28"/>
        </w:rPr>
        <w:t>ARC 0576D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rescission of chapters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301, “Iowa Community Cultural Grants (ICCG) Program,” Chapter 302, “Cultural Leadership Partners (CLP) Program,” Chapter 303, “Cultural and Entertainment Districts,” and Chapter 304, “Organization and Operation,”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15.106A(1)“m” and 17A.4(1).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15.106A(1)“m.”</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Pursuant to Executive Order 10, the Authority proposes to rescind the following obsolete and unnecessary chapters: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301, which describes the Iowa Community Cultural Grants Program. The Authority has determined to discontinue this program. Accordingly, this chapter is no longer necessary.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302, which describes the Cultural Leadership Partners Program. The Authority has determined to discontinue this program. Accordingly, this chapter is no longer necessary.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303, which describes the Cultural and Entertainment Districts Program. Iowa Code section 15.438, which authorized the program, was repealed by 2025 Iowa Acts, House File 975, section 37. Accordingly, this chapter is no longer necessary.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Chapter 304, which provides organization structure, general administration and operating framework of the Iowa Arts Council within the Authority. The Authority has determined that certain provisions of this chapter remain necessary, while others are duplicative or unnecessary as a stand-alone chapter. Provisions that continue to serve a purpose are being incorporated into a revised 261—Chapter 305. Accordingly, this chapter is no longer necessary.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304</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