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68D" w:id="1"/>
    <w:p>
      <w:pPr>
        <w:spacing w:before="0" w:after="0" w:line="480"/>
        <w:ind w:left="120"/>
        <w:jc w:val="right"/>
      </w:pPr>
      <w:r>
        <w:rPr>
          <w:rFonts w:ascii="Times New Roman" w:hAnsi="Times New Roman"/>
          <w:b/>
          <w:i w:val="false"/>
          <w:color w:val="000000"/>
          <w:sz w:val="28"/>
        </w:rPr>
        <w:t>ARC 0568D</w:t>
      </w:r>
    </w:p>
    <w:bookmarkEnd w:id="1"/>
    <w:p>
      <w:pPr>
        <w:pBdr>
          <w:top w:space="5"/>
        </w:pBdr>
        <w:spacing w:before="0" w:after="0" w:line="480"/>
        <w:ind w:left="120"/>
        <w:jc w:val="center"/>
      </w:pPr>
      <w:r>
        <w:rPr>
          <w:rFonts w:ascii="Times New Roman" w:hAnsi="Times New Roman"/>
          <w:b/>
          <w:i w:val="false"/>
          <w:color w:val="000000"/>
          <w:sz w:val="28"/>
        </w:rPr>
        <w:t>SOIL CONSERVATION AND WATER QUALITY DIVISION[27]</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mineral program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Soil Conservation and Water Quality Division hereby proposes to rescind Chapter 60, “Minerals Program,” Iowa Administrative Code, and to adopt a new Chapter 60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208.</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208.</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rescinds and replaces Chapter 60 to modernize and streamline the rules governing Iowa’s Minerals Program. The proposed rules retain the existing requirements for licensing and registration, bonding, mine-site transfers, reporting, reclamation, setbacks, variances, enforcement, and penalties while reorganizing the chapter, simplifying definitions, updating Department contact information, and clarifying required forms and application materials. The rulemaking also expressly requires a reclamation plan as part of a mine-site registration application and does not otherwise substantially change the operation of the program.</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June 24,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14,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Division for a waiver of the discretionary provisions, if any.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comments concerning this proposed rulemaking, which must be received by the Division no later than 4:30 p.m. on October 6,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8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Colin Tadlock </w:t>
            </w:r>
            <w:r>
              <w:br/>
            </w:r>
            <w:r>
              <w:rPr>
                <w:rFonts w:ascii="Times New Roman" w:hAnsi="Times New Roman"/>
                <w:b w:val="false"/>
                <w:i w:val="false"/>
                <w:color w:val="000000"/>
                <w:sz w:val="14"/>
              </w:rPr>
              <w:t xml:space="preserve">Iowa Department of Agriculture and Land Stewardship </w:t>
            </w:r>
            <w:r>
              <w:br/>
            </w:r>
            <w:r>
              <w:rPr>
                <w:rFonts w:ascii="Times New Roman" w:hAnsi="Times New Roman"/>
                <w:b w:val="false"/>
                <w:i w:val="false"/>
                <w:color w:val="000000"/>
                <w:sz w:val="14"/>
              </w:rPr>
              <w:t>1305 East Walnut Street, Fifth Floor</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colin.tadlock@iowaagriculture.gov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No public hearing is scheduled at this time. As provided in Iowa Code section 17A.4(1)“b,” an oral presentation regarding this rulemaking may be demanded by 25 interested persons, a governmental subdivision, the Administrative Rules Review Committee, an agency, or an association having 25 or more members.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27—Chapter 60</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60</w:t>
      </w:r>
    </w:p>
    <w:p>
      <w:pPr>
        <w:spacing w:before="0" w:after="0" w:line="480"/>
        <w:ind w:left="120"/>
        <w:jc w:val="center"/>
      </w:pPr>
      <w:r>
        <w:rPr>
          <w:rFonts w:ascii="Times New Roman" w:hAnsi="Times New Roman"/>
          <w:b w:val="false"/>
          <w:i w:val="false"/>
          <w:color w:val="000000"/>
          <w:sz w:val="21"/>
        </w:rPr>
        <w:t>MINERALS PROGRAM</w:t>
      </w:r>
    </w:p>
    <w:p>
      <w:pPr>
        <w:spacing w:before="0" w:after="0" w:line="480"/>
        <w:ind w:left="120"/>
        <w:jc w:val="both"/>
      </w:pPr>
      <w:r>
        <w:rPr>
          <w:rFonts w:ascii="Times New Roman" w:hAnsi="Times New Roman"/>
          <w:b/>
          <w:i w:val="false"/>
          <w:color w:val="000000"/>
          <w:sz w:val="24"/>
        </w:rPr>
        <w:t>27—60.1</w:t>
      </w:r>
      <w:r>
        <w:rPr>
          <w:rFonts w:ascii="Times New Roman" w:hAnsi="Times New Roman"/>
          <w:b/>
          <w:i w:val="false"/>
          <w:color w:val="000000"/>
          <w:sz w:val="24"/>
        </w:rPr>
        <w:t xml:space="preserve">(208) </w:t>
      </w:r>
      <w:r>
        <w:rPr>
          <w:rFonts w:ascii="Times New Roman" w:hAnsi="Times New Roman"/>
          <w:b/>
          <w:i w:val="false"/>
          <w:color w:val="000000"/>
          <w:sz w:val="24"/>
        </w:rPr>
        <w:t xml:space="preserve">Authority and scope.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60.1(1)</w:t>
      </w:r>
      <w:r>
        <w:rPr>
          <w:rFonts w:ascii="Times New Roman" w:hAnsi="Times New Roman"/>
          <w:b w:val="false"/>
          <w:i w:val="false"/>
          <w:color w:val="000000"/>
          <w:sz w:val="24"/>
        </w:rPr>
        <w:t> </w:t>
      </w:r>
      <w:r>
        <w:rPr>
          <w:rFonts w:ascii="Times New Roman" w:hAnsi="Times New Roman"/>
          <w:b w:val="false"/>
          <w:i w:val="false"/>
          <w:color w:val="000000"/>
          <w:sz w:val="24"/>
        </w:rPr>
        <w:t xml:space="preserve">This chapter establishes procedures and standards to be followed by the division of soil conservation and water quality, Iowa department of agriculture and land stewardship, in implementing the requirements of Iowa Code chapter </w:t>
      </w:r>
      <w:hyperlink r:id="rId6">
        <w:r>
          <w:rPr>
            <w:rStyle w:val="Hyperlink"/>
            <w:rFonts w:ascii="Times New Roman" w:hAnsi="Times New Roman"/>
            <w:b w:val="false"/>
            <w:i w:val="false"/>
            <w:color w:val="000000"/>
            <w:sz w:val="24"/>
          </w:rPr>
          <w:t>208</w:t>
        </w:r>
      </w:hyperlink>
      <w:r>
        <w:rPr>
          <w:rFonts w:ascii="Times New Roman" w:hAnsi="Times New Roman"/>
          <w:b w:val="false"/>
          <w:i w:val="false"/>
          <w:color w:val="000000"/>
          <w:sz w:val="24"/>
        </w:rPr>
        <w:t xml:space="preserve"> to ensure reclamation upon completion of mining operations for gypsum, clay, stone, sand, gravel, and other ores or mineral solids, except coal.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60.1(2)</w:t>
      </w:r>
      <w:r>
        <w:rPr>
          <w:rFonts w:ascii="Times New Roman" w:hAnsi="Times New Roman"/>
          <w:b w:val="false"/>
          <w:i w:val="false"/>
          <w:color w:val="000000"/>
          <w:sz w:val="24"/>
        </w:rPr>
        <w:t> </w:t>
      </w:r>
      <w:r>
        <w:rPr>
          <w:rFonts w:ascii="Times New Roman" w:hAnsi="Times New Roman"/>
          <w:b w:val="false"/>
          <w:i w:val="false"/>
          <w:color w:val="000000"/>
          <w:sz w:val="24"/>
        </w:rPr>
        <w:t>Information and forms can be obtained on the department’s website or by contacting: Mines and Minerals Bureau, Division of Soil Conservation and Water Quality, Hoover State Office Building, 1305 East Walnut Street, Des Moines, Iowa 50319. Telephone: 515.306.1636.</w:t>
      </w:r>
    </w:p>
    <w:p>
      <w:pPr>
        <w:spacing w:before="210" w:after="0" w:line="480"/>
        <w:ind w:left="120"/>
        <w:jc w:val="both"/>
      </w:pPr>
      <w:r>
        <w:rPr>
          <w:rFonts w:ascii="Times New Roman" w:hAnsi="Times New Roman"/>
          <w:b/>
          <w:i w:val="false"/>
          <w:color w:val="000000"/>
          <w:sz w:val="24"/>
        </w:rPr>
        <w:t>27—60.2</w:t>
      </w:r>
      <w:r>
        <w:rPr>
          <w:rFonts w:ascii="Times New Roman" w:hAnsi="Times New Roman"/>
          <w:b/>
          <w:i w:val="false"/>
          <w:color w:val="000000"/>
          <w:sz w:val="24"/>
        </w:rPr>
        <w:t xml:space="preserve">(208) </w:t>
      </w:r>
      <w:r>
        <w:rPr>
          <w:rFonts w:ascii="Times New Roman" w:hAnsi="Times New Roman"/>
          <w:b/>
          <w:i w:val="false"/>
          <w:color w:val="000000"/>
          <w:sz w:val="24"/>
        </w:rPr>
        <w:t xml:space="preserve">Rules are severable. </w:t>
      </w:r>
      <w:r>
        <w:rPr>
          <w:rFonts w:ascii="Times New Roman" w:hAnsi="Times New Roman"/>
          <w:b w:val="false"/>
          <w:i w:val="false"/>
          <w:color w:val="000000"/>
          <w:sz w:val="24"/>
        </w:rPr>
        <w:t>If any provision of a rule or the application thereof to any person or circumstance is held invalid, the invalidity does not affect other provisions or applications of the rule that can be given effect without the invalid provision or application, and to this end, the provisions of these rules are severable.</w:t>
      </w:r>
    </w:p>
    <w:p>
      <w:pPr>
        <w:spacing w:before="0" w:after="0" w:line="480"/>
        <w:ind w:left="120"/>
        <w:jc w:val="both"/>
      </w:pPr>
      <w:r>
        <w:rPr>
          <w:rFonts w:ascii="Times New Roman" w:hAnsi="Times New Roman"/>
          <w:b/>
          <w:i w:val="false"/>
          <w:color w:val="000000"/>
          <w:sz w:val="24"/>
        </w:rPr>
        <w:t>27—60.3</w:t>
      </w:r>
      <w:r>
        <w:rPr>
          <w:rFonts w:ascii="Times New Roman" w:hAnsi="Times New Roman"/>
          <w:b/>
          <w:i w:val="false"/>
          <w:color w:val="000000"/>
          <w:sz w:val="24"/>
        </w:rPr>
        <w:t xml:space="preserve">(208) </w:t>
      </w:r>
      <w:r>
        <w:rPr>
          <w:rFonts w:ascii="Times New Roman" w:hAnsi="Times New Roman"/>
          <w:b/>
          <w:i w:val="false"/>
          <w:color w:val="000000"/>
          <w:sz w:val="24"/>
        </w:rPr>
        <w:t xml:space="preserve">Definitions. </w:t>
      </w:r>
      <w:r>
        <w:rPr>
          <w:rFonts w:ascii="Times New Roman" w:hAnsi="Times New Roman"/>
          <w:b w:val="false"/>
          <w:i w:val="false"/>
          <w:color w:val="000000"/>
          <w:sz w:val="24"/>
        </w:rPr>
        <w:t>When used in this chapter, the following definitions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“Acceptable species”</w:t>
      </w:r>
      <w:r>
        <w:rPr>
          <w:rFonts w:ascii="Times New Roman" w:hAnsi="Times New Roman"/>
          <w:b w:val="false"/>
          <w:i w:val="false"/>
          <w:color w:val="000000"/>
          <w:sz w:val="24"/>
        </w:rPr>
        <w:t> </w:t>
      </w:r>
      <w:r>
        <w:rPr>
          <w:rFonts w:ascii="Times New Roman" w:hAnsi="Times New Roman"/>
          <w:b w:val="false"/>
          <w:i w:val="false"/>
          <w:color w:val="000000"/>
          <w:sz w:val="24"/>
        </w:rPr>
        <w:t>means plant species recognized as desirable permanent species and normally used in conjunction with agriculture, forestry, wildlife or similar plans for reclamation.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“Angle of repose”</w:t>
      </w:r>
      <w:r>
        <w:rPr>
          <w:rFonts w:ascii="Times New Roman" w:hAnsi="Times New Roman"/>
          <w:b w:val="false"/>
          <w:i w:val="false"/>
          <w:color w:val="000000"/>
          <w:sz w:val="24"/>
        </w:rPr>
        <w:t> </w:t>
      </w:r>
      <w:r>
        <w:rPr>
          <w:rFonts w:ascii="Times New Roman" w:hAnsi="Times New Roman"/>
          <w:b w:val="false"/>
          <w:i w:val="false"/>
          <w:color w:val="000000"/>
          <w:sz w:val="24"/>
        </w:rPr>
        <w:t>means the maximum angle of slope (measured from horizontal) at which loose cohesion materials will come to rest on a pile of similar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“Critical slope angle”</w:t>
      </w:r>
      <w:r>
        <w:rPr>
          <w:rFonts w:ascii="Times New Roman" w:hAnsi="Times New Roman"/>
          <w:b w:val="false"/>
          <w:i w:val="false"/>
          <w:color w:val="000000"/>
          <w:sz w:val="24"/>
        </w:rPr>
        <w:t> </w:t>
      </w:r>
      <w:r>
        <w:rPr>
          <w:rFonts w:ascii="Times New Roman" w:hAnsi="Times New Roman"/>
          <w:b w:val="false"/>
          <w:i w:val="false"/>
          <w:color w:val="000000"/>
          <w:sz w:val="24"/>
        </w:rPr>
        <w:t>means the maximum slope incline that the soil and rock materials underlying the slope can support, without failure, under existing climate, vegetation, and land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“Department”</w:t>
      </w:r>
      <w:r>
        <w:rPr>
          <w:rFonts w:ascii="Times New Roman" w:hAnsi="Times New Roman"/>
          <w:b w:val="false"/>
          <w:i w:val="false"/>
          <w:color w:val="000000"/>
          <w:sz w:val="24"/>
        </w:rPr>
        <w:t> </w:t>
      </w:r>
      <w:r>
        <w:rPr>
          <w:rFonts w:ascii="Times New Roman" w:hAnsi="Times New Roman"/>
          <w:b w:val="false"/>
          <w:i w:val="false"/>
          <w:color w:val="000000"/>
          <w:sz w:val="24"/>
        </w:rPr>
        <w:t>means the department of agriculture and land stewardship.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“Dredge operation”</w:t>
      </w:r>
      <w:r>
        <w:rPr>
          <w:rFonts w:ascii="Times New Roman" w:hAnsi="Times New Roman"/>
          <w:b w:val="false"/>
          <w:i w:val="false"/>
          <w:color w:val="000000"/>
          <w:sz w:val="24"/>
        </w:rPr>
        <w:t> </w:t>
      </w:r>
      <w:r>
        <w:rPr>
          <w:rFonts w:ascii="Times New Roman" w:hAnsi="Times New Roman"/>
          <w:b w:val="false"/>
          <w:i w:val="false"/>
          <w:color w:val="000000"/>
          <w:sz w:val="24"/>
        </w:rPr>
        <w:t>means an operation to mine sand, gravel, or other nonfuel minerals for sale or for processing or consumption in the regular operation of a business by removing the product directly from its natural state beneath the surface of a river, lake or other body of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“Official notice”</w:t>
      </w:r>
      <w:r>
        <w:rPr>
          <w:rFonts w:ascii="Times New Roman" w:hAnsi="Times New Roman"/>
          <w:b w:val="false"/>
          <w:i w:val="false"/>
          <w:color w:val="000000"/>
          <w:sz w:val="24"/>
        </w:rPr>
        <w:t> </w:t>
      </w:r>
      <w:r>
        <w:rPr>
          <w:rFonts w:ascii="Times New Roman" w:hAnsi="Times New Roman"/>
          <w:b w:val="false"/>
          <w:i w:val="false"/>
          <w:color w:val="000000"/>
          <w:sz w:val="24"/>
        </w:rPr>
        <w:t>means service of a written notice or order to an operator via personal service or certified mail to the last-known address. Service shall not be deemed incomplete because of refusal to accept.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“Reclamation”</w:t>
      </w:r>
      <w:r>
        <w:rPr>
          <w:rFonts w:ascii="Times New Roman" w:hAnsi="Times New Roman"/>
          <w:b w:val="false"/>
          <w:i w:val="false"/>
          <w:color w:val="000000"/>
          <w:sz w:val="24"/>
        </w:rPr>
        <w:t> </w:t>
      </w:r>
      <w:r>
        <w:rPr>
          <w:rFonts w:ascii="Times New Roman" w:hAnsi="Times New Roman"/>
          <w:b w:val="false"/>
          <w:i w:val="false"/>
          <w:color w:val="000000"/>
          <w:sz w:val="24"/>
        </w:rPr>
        <w:t>means the process of restoring disturbed or affected lands to the premined uses of the lands or other productive uses.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“Registered site”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site that meets the requirements of Iowa Code chapter </w:t>
      </w:r>
      <w:hyperlink r:id="rId7">
        <w:r>
          <w:rPr>
            <w:rStyle w:val="Hyperlink"/>
            <w:rFonts w:ascii="Times New Roman" w:hAnsi="Times New Roman"/>
            <w:b w:val="false"/>
            <w:i w:val="false"/>
            <w:color w:val="000000"/>
            <w:sz w:val="24"/>
          </w:rPr>
          <w:t>208</w:t>
        </w:r>
      </w:hyperlink>
      <w:r>
        <w:rPr>
          <w:rFonts w:ascii="Times New Roman" w:hAnsi="Times New Roman"/>
          <w:b w:val="false"/>
          <w:i w:val="false"/>
          <w:color w:val="000000"/>
          <w:sz w:val="24"/>
        </w:rPr>
        <w:t xml:space="preserve"> and for which the operator has received a valid registration certificate from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“Water impoundment”</w:t>
      </w:r>
      <w:r>
        <w:rPr>
          <w:rFonts w:ascii="Times New Roman" w:hAnsi="Times New Roman"/>
          <w:b w:val="false"/>
          <w:i w:val="false"/>
          <w:color w:val="000000"/>
          <w:sz w:val="24"/>
        </w:rPr>
        <w:t> </w:t>
      </w:r>
      <w:r>
        <w:rPr>
          <w:rFonts w:ascii="Times New Roman" w:hAnsi="Times New Roman"/>
          <w:b w:val="false"/>
          <w:i w:val="false"/>
          <w:color w:val="000000"/>
          <w:sz w:val="24"/>
        </w:rPr>
        <w:t>means the collection or storage of water within a defined structure at the normal water line but shall not include the surrounding banks, shorelines, or land adjacent to the impoundment.</w:t>
      </w:r>
    </w:p>
    <w:p>
      <w:pPr>
        <w:spacing w:before="0" w:after="0" w:line="480"/>
        <w:ind w:left="120"/>
        <w:jc w:val="both"/>
      </w:pPr>
      <w:r>
        <w:rPr>
          <w:rFonts w:ascii="Times New Roman" w:hAnsi="Times New Roman"/>
          <w:b/>
          <w:i w:val="false"/>
          <w:color w:val="000000"/>
          <w:sz w:val="24"/>
        </w:rPr>
        <w:t>27—60.4</w:t>
      </w:r>
      <w:r>
        <w:rPr>
          <w:rFonts w:ascii="Times New Roman" w:hAnsi="Times New Roman"/>
          <w:b/>
          <w:i w:val="false"/>
          <w:color w:val="000000"/>
          <w:sz w:val="24"/>
        </w:rPr>
        <w:t xml:space="preserve">(208) </w:t>
      </w:r>
      <w:r>
        <w:rPr>
          <w:rFonts w:ascii="Times New Roman" w:hAnsi="Times New Roman"/>
          <w:b/>
          <w:i w:val="false"/>
          <w:color w:val="000000"/>
          <w:sz w:val="24"/>
        </w:rPr>
        <w:t xml:space="preserve">License.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60.4(1)</w:t>
      </w:r>
      <w:r>
        <w:rPr>
          <w:rFonts w:ascii="Times New Roman" w:hAnsi="Times New Roman"/>
          <w:b w:val="false"/>
          <w:i w:val="false"/>
          <w:color w:val="000000"/>
          <w:sz w:val="24"/>
        </w:rPr>
        <w:t> </w:t>
      </w:r>
      <w:r>
        <w:rPr>
          <w:rFonts w:ascii="Times New Roman" w:hAnsi="Times New Roman"/>
          <w:b w:val="false"/>
          <w:i/>
          <w:color w:val="000000"/>
          <w:sz w:val="24"/>
        </w:rPr>
        <w:t xml:space="preserve">Application for mining license. </w:t>
      </w:r>
      <w:r>
        <w:rPr>
          <w:rFonts w:ascii="Times New Roman" w:hAnsi="Times New Roman"/>
          <w:b w:val="false"/>
          <w:i w:val="false"/>
          <w:color w:val="000000"/>
          <w:sz w:val="24"/>
        </w:rPr>
        <w:t>All operators wanting to mine minerals in Iowa shall apply for a mining license. The application shall be complete only if submitted on the form supplied by the division, signed by the operator or an authorized representative, and accompanied by a license application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60.4(2)</w:t>
      </w:r>
      <w:r>
        <w:rPr>
          <w:rFonts w:ascii="Times New Roman" w:hAnsi="Times New Roman"/>
          <w:b w:val="false"/>
          <w:i w:val="false"/>
          <w:color w:val="000000"/>
          <w:sz w:val="24"/>
        </w:rPr>
        <w:t> </w:t>
      </w:r>
      <w:r>
        <w:rPr>
          <w:rFonts w:ascii="Times New Roman" w:hAnsi="Times New Roman"/>
          <w:b w:val="false"/>
          <w:i/>
          <w:color w:val="000000"/>
          <w:sz w:val="24"/>
        </w:rPr>
        <w:t xml:space="preserve">Fees. </w:t>
      </w:r>
      <w:r>
        <w:rPr>
          <w:rFonts w:ascii="Times New Roman" w:hAnsi="Times New Roman"/>
          <w:b w:val="false"/>
          <w:i w:val="false"/>
          <w:color w:val="000000"/>
          <w:sz w:val="24"/>
        </w:rPr>
        <w:t xml:space="preserve">Licensing and license renewal fees are established by Iowa Code section </w:t>
      </w:r>
      <w:hyperlink r:id="rId8">
        <w:r>
          <w:rPr>
            <w:rStyle w:val="Hyperlink"/>
            <w:rFonts w:ascii="Times New Roman" w:hAnsi="Times New Roman"/>
            <w:b w:val="false"/>
            <w:i w:val="false"/>
            <w:color w:val="000000"/>
            <w:sz w:val="24"/>
          </w:rPr>
          <w:t>208.7</w:t>
        </w:r>
      </w:hyperlink>
      <w:r>
        <w:rPr>
          <w:rFonts w:ascii="Times New Roman" w:hAnsi="Times New Roman"/>
          <w:b w:val="false"/>
          <w:i w:val="false"/>
          <w:color w:val="000000"/>
          <w:sz w:val="24"/>
        </w:rPr>
        <w:t xml:space="preserve"> at $50 for an initial license and $20 for a license renewal.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60.4(3)</w:t>
      </w:r>
      <w:r>
        <w:rPr>
          <w:rFonts w:ascii="Times New Roman" w:hAnsi="Times New Roman"/>
          <w:b w:val="false"/>
          <w:i w:val="false"/>
          <w:color w:val="000000"/>
          <w:sz w:val="24"/>
        </w:rPr>
        <w:t> </w:t>
      </w:r>
      <w:r>
        <w:rPr>
          <w:rFonts w:ascii="Times New Roman" w:hAnsi="Times New Roman"/>
          <w:b w:val="false"/>
          <w:i/>
          <w:color w:val="000000"/>
          <w:sz w:val="24"/>
        </w:rPr>
        <w:t xml:space="preserve">License term and expiration.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license shall be maintained by the operator until all sites have been properly reclaimed or transferred to another licensed operator.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initial license shall expire on December 31 of the year in which the license was obtained. A license for renewal shall expire on December 31 of the second year in which the license was issued. Any applications for renewal received within 30 days of the expiration date shall be accepted as renewals for the previous license. New licenses obtained after November 1 shall remain valid for a period to include the next calendar year or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60.4(4)</w:t>
      </w:r>
      <w:r>
        <w:rPr>
          <w:rFonts w:ascii="Times New Roman" w:hAnsi="Times New Roman"/>
          <w:b w:val="false"/>
          <w:i w:val="false"/>
          <w:color w:val="000000"/>
          <w:sz w:val="24"/>
        </w:rPr>
        <w:t> </w:t>
      </w:r>
      <w:r>
        <w:rPr>
          <w:rFonts w:ascii="Times New Roman" w:hAnsi="Times New Roman"/>
          <w:b w:val="false"/>
          <w:i/>
          <w:color w:val="000000"/>
          <w:sz w:val="24"/>
        </w:rPr>
        <w:t xml:space="preserve">License renewal. </w:t>
      </w:r>
      <w:r>
        <w:rPr>
          <w:rFonts w:ascii="Times New Roman" w:hAnsi="Times New Roman"/>
          <w:b w:val="false"/>
          <w:i w:val="false"/>
          <w:color w:val="000000"/>
          <w:sz w:val="24"/>
        </w:rPr>
        <w:t xml:space="preserve">Any operator who fails to renew the mining license within the 30-day period following the expiration deadline established in subrule </w:t>
      </w:r>
      <w:hyperlink r:id="rId9">
        <w:r>
          <w:rPr>
            <w:rStyle w:val="Hyperlink"/>
            <w:rFonts w:ascii="Times New Roman" w:hAnsi="Times New Roman"/>
            <w:b w:val="false"/>
            <w:i w:val="false"/>
            <w:color w:val="000000"/>
            <w:sz w:val="24"/>
          </w:rPr>
          <w:t>60.4(3)</w:t>
        </w:r>
      </w:hyperlink>
      <w:r>
        <w:rPr>
          <w:rFonts w:ascii="Times New Roman" w:hAnsi="Times New Roman"/>
          <w:b w:val="false"/>
          <w:i w:val="false"/>
          <w:color w:val="000000"/>
          <w:sz w:val="24"/>
        </w:rPr>
        <w:t xml:space="preserve"> will be required to apply for an initial license. Failure to renew a license within 30 days after official notice will invalidate all registrations.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60.4(5)</w:t>
      </w:r>
      <w:r>
        <w:rPr>
          <w:rFonts w:ascii="Times New Roman" w:hAnsi="Times New Roman"/>
          <w:b w:val="false"/>
          <w:i w:val="false"/>
          <w:color w:val="000000"/>
          <w:sz w:val="24"/>
        </w:rPr>
        <w:t> </w:t>
      </w:r>
      <w:r>
        <w:rPr>
          <w:rFonts w:ascii="Times New Roman" w:hAnsi="Times New Roman"/>
          <w:b w:val="false"/>
          <w:i/>
          <w:color w:val="000000"/>
          <w:sz w:val="24"/>
        </w:rPr>
        <w:t xml:space="preserve">Valid license. </w:t>
      </w:r>
      <w:r>
        <w:rPr>
          <w:rFonts w:ascii="Times New Roman" w:hAnsi="Times New Roman"/>
          <w:b w:val="false"/>
          <w:i w:val="false"/>
          <w:color w:val="000000"/>
          <w:sz w:val="24"/>
        </w:rPr>
        <w:t>A license to mine is valid only if approved by the division and acknowledged by a license certificate that has been signed by the administrator and lists the operator and the assigned license number.</w:t>
      </w:r>
    </w:p>
    <w:p>
      <w:pPr>
        <w:spacing w:before="0" w:after="0" w:line="480"/>
        <w:ind w:left="120"/>
        <w:jc w:val="both"/>
      </w:pPr>
      <w:r>
        <w:rPr>
          <w:rFonts w:ascii="Times New Roman" w:hAnsi="Times New Roman"/>
          <w:b/>
          <w:i w:val="false"/>
          <w:color w:val="000000"/>
          <w:sz w:val="24"/>
        </w:rPr>
        <w:t>27—60.5</w:t>
      </w:r>
      <w:r>
        <w:rPr>
          <w:rFonts w:ascii="Times New Roman" w:hAnsi="Times New Roman"/>
          <w:b/>
          <w:i w:val="false"/>
          <w:color w:val="000000"/>
          <w:sz w:val="24"/>
        </w:rPr>
        <w:t xml:space="preserve">(208) </w:t>
      </w:r>
      <w:r>
        <w:rPr>
          <w:rFonts w:ascii="Times New Roman" w:hAnsi="Times New Roman"/>
          <w:b/>
          <w:i w:val="false"/>
          <w:color w:val="000000"/>
          <w:sz w:val="24"/>
        </w:rPr>
        <w:t xml:space="preserve">Registration.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60.5(1)</w:t>
      </w:r>
      <w:r>
        <w:rPr>
          <w:rFonts w:ascii="Times New Roman" w:hAnsi="Times New Roman"/>
          <w:b w:val="false"/>
          <w:i w:val="false"/>
          <w:color w:val="000000"/>
          <w:sz w:val="24"/>
        </w:rPr>
        <w:t> </w:t>
      </w:r>
      <w:r>
        <w:rPr>
          <w:rFonts w:ascii="Times New Roman" w:hAnsi="Times New Roman"/>
          <w:b w:val="false"/>
          <w:i/>
          <w:color w:val="000000"/>
          <w:sz w:val="24"/>
        </w:rPr>
        <w:t xml:space="preserve">Registration required. </w:t>
      </w:r>
      <w:r>
        <w:rPr>
          <w:rFonts w:ascii="Times New Roman" w:hAnsi="Times New Roman"/>
          <w:b w:val="false"/>
          <w:i w:val="false"/>
          <w:color w:val="000000"/>
          <w:sz w:val="24"/>
        </w:rPr>
        <w:t>All mine sites shall be registered at least seven days prior to the beginning of mining or the removal of overburden. Exploration activities are exempt from registration requirements unless they affect more than 10,000 square feet of surface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60.5(2)</w:t>
      </w:r>
      <w:r>
        <w:rPr>
          <w:rFonts w:ascii="Times New Roman" w:hAnsi="Times New Roman"/>
          <w:b w:val="false"/>
          <w:i w:val="false"/>
          <w:color w:val="000000"/>
          <w:sz w:val="24"/>
        </w:rPr>
        <w:t> </w:t>
      </w:r>
      <w:r>
        <w:rPr>
          <w:rFonts w:ascii="Times New Roman" w:hAnsi="Times New Roman"/>
          <w:b w:val="false"/>
          <w:i/>
          <w:color w:val="000000"/>
          <w:sz w:val="24"/>
        </w:rPr>
        <w:t xml:space="preserve">Application fee. </w:t>
      </w:r>
      <w:r>
        <w:rPr>
          <w:rFonts w:ascii="Times New Roman" w:hAnsi="Times New Roman"/>
          <w:b w:val="false"/>
          <w:i w:val="false"/>
          <w:color w:val="000000"/>
          <w:sz w:val="24"/>
        </w:rPr>
        <w:t>The registration application fee shall be $50 per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60.5(3)</w:t>
      </w:r>
      <w:r>
        <w:rPr>
          <w:rFonts w:ascii="Times New Roman" w:hAnsi="Times New Roman"/>
          <w:b w:val="false"/>
          <w:i w:val="false"/>
          <w:color w:val="000000"/>
          <w:sz w:val="24"/>
        </w:rPr>
        <w:t> </w:t>
      </w:r>
      <w:r>
        <w:rPr>
          <w:rFonts w:ascii="Times New Roman" w:hAnsi="Times New Roman"/>
          <w:b w:val="false"/>
          <w:i/>
          <w:color w:val="000000"/>
          <w:sz w:val="24"/>
        </w:rPr>
        <w:t xml:space="preserve">Application for registration. </w:t>
      </w:r>
      <w:r>
        <w:rPr>
          <w:rFonts w:ascii="Times New Roman" w:hAnsi="Times New Roman"/>
          <w:b w:val="false"/>
          <w:i w:val="false"/>
          <w:color w:val="000000"/>
          <w:sz w:val="24"/>
        </w:rPr>
        <w:t>An application for registration shall be acceptable only if completed on the form provided by the division and signed by the operator or an authorized representative and accompanied by a bond or bond increase, a map of the area to be mined, a reclamation plan, and the registration fee. The completed registration application, registration fee, map, reclamation plan, and bond or bond increase shall be received at least seven days prior to the removal of overburden.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60.5(4)</w:t>
      </w:r>
      <w:r>
        <w:rPr>
          <w:rFonts w:ascii="Times New Roman" w:hAnsi="Times New Roman"/>
          <w:b w:val="false"/>
          <w:i w:val="false"/>
          <w:color w:val="000000"/>
          <w:sz w:val="24"/>
        </w:rPr>
        <w:t> </w:t>
      </w:r>
      <w:r>
        <w:rPr>
          <w:rFonts w:ascii="Times New Roman" w:hAnsi="Times New Roman"/>
          <w:b w:val="false"/>
          <w:i/>
          <w:color w:val="000000"/>
          <w:sz w:val="24"/>
        </w:rPr>
        <w:t xml:space="preserve">Valid registration. </w:t>
      </w:r>
      <w:r>
        <w:rPr>
          <w:rFonts w:ascii="Times New Roman" w:hAnsi="Times New Roman"/>
          <w:b w:val="false"/>
          <w:i w:val="false"/>
          <w:color w:val="000000"/>
          <w:sz w:val="24"/>
        </w:rPr>
        <w:t>A registration is valid only if approved by the division and acknowledged by a registration certificate signed by the division administrator, listing site name, location, and operator to which the site is registered.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Failure to fulfill the requirements of this rule or chapter may result in the invalidation of a site registration following notification to the operator by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division may request additional information or materials to further distinguish a site from other sites.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single registration shall consist of contiguous describable tracts of land that can be enclosed by a single unbroken boundary line and including only that property upon which the operator has a legal right to conduct mining.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60.5(5)</w:t>
      </w:r>
      <w:r>
        <w:rPr>
          <w:rFonts w:ascii="Times New Roman" w:hAnsi="Times New Roman"/>
          <w:b w:val="false"/>
          <w:i w:val="false"/>
          <w:color w:val="000000"/>
          <w:sz w:val="24"/>
        </w:rPr>
        <w:t> </w:t>
      </w:r>
      <w:r>
        <w:rPr>
          <w:rFonts w:ascii="Times New Roman" w:hAnsi="Times New Roman"/>
          <w:b w:val="false"/>
          <w:i/>
          <w:color w:val="000000"/>
          <w:sz w:val="24"/>
        </w:rPr>
        <w:t xml:space="preserve">Registration conflicts. </w:t>
      </w:r>
      <w:r>
        <w:rPr>
          <w:rFonts w:ascii="Times New Roman" w:hAnsi="Times New Roman"/>
          <w:b w:val="false"/>
          <w:i w:val="false"/>
          <w:color w:val="000000"/>
          <w:sz w:val="24"/>
        </w:rPr>
        <w:t>If more than one operator is extracting minerals from a given contiguous site within the same time frame, then each operator shall file with the division a statement signed by the operator, including a map defining the scope of operations and bond responsibility of each operator in regard to the final reclamation of the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60.5(6)</w:t>
      </w:r>
      <w:r>
        <w:rPr>
          <w:rFonts w:ascii="Times New Roman" w:hAnsi="Times New Roman"/>
          <w:b w:val="false"/>
          <w:i w:val="false"/>
          <w:color w:val="000000"/>
          <w:sz w:val="24"/>
        </w:rPr>
        <w:t> </w:t>
      </w:r>
      <w:r>
        <w:rPr>
          <w:rFonts w:ascii="Times New Roman" w:hAnsi="Times New Roman"/>
          <w:b w:val="false"/>
          <w:i/>
          <w:color w:val="000000"/>
          <w:sz w:val="24"/>
        </w:rPr>
        <w:t xml:space="preserve">Registration information. </w:t>
      </w:r>
      <w:r>
        <w:rPr>
          <w:rFonts w:ascii="Times New Roman" w:hAnsi="Times New Roman"/>
          <w:b w:val="false"/>
          <w:i w:val="false"/>
          <w:color w:val="000000"/>
          <w:sz w:val="24"/>
        </w:rPr>
        <w:t>It shall be the responsibility of the operator to ensure that all information in connection with the application for registration and the registration certificate is correct.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60.5(7)</w:t>
      </w:r>
      <w:r>
        <w:rPr>
          <w:rFonts w:ascii="Times New Roman" w:hAnsi="Times New Roman"/>
          <w:b w:val="false"/>
          <w:i w:val="false"/>
          <w:color w:val="000000"/>
          <w:sz w:val="24"/>
        </w:rPr>
        <w:t> </w:t>
      </w:r>
      <w:r>
        <w:rPr>
          <w:rFonts w:ascii="Times New Roman" w:hAnsi="Times New Roman"/>
          <w:b w:val="false"/>
          <w:i/>
          <w:color w:val="000000"/>
          <w:sz w:val="24"/>
        </w:rPr>
        <w:t xml:space="preserve">Registration exclusion. </w:t>
      </w:r>
      <w:r>
        <w:rPr>
          <w:rFonts w:ascii="Times New Roman" w:hAnsi="Times New Roman"/>
          <w:b w:val="false"/>
          <w:i w:val="false"/>
          <w:color w:val="000000"/>
          <w:sz w:val="24"/>
        </w:rPr>
        <w:t xml:space="preserve">No site or portion thereof will be released by exclusion from registration under subrules </w:t>
      </w:r>
      <w:hyperlink r:id="rId10">
        <w:r>
          <w:rPr>
            <w:rStyle w:val="Hyperlink"/>
            <w:rFonts w:ascii="Times New Roman" w:hAnsi="Times New Roman"/>
            <w:b w:val="false"/>
            <w:i w:val="false"/>
            <w:color w:val="000000"/>
            <w:sz w:val="24"/>
          </w:rPr>
          <w:t>60.5(1)</w:t>
        </w:r>
      </w:hyperlink>
      <w:r>
        <w:rPr>
          <w:rFonts w:ascii="Times New Roman" w:hAnsi="Times New Roman"/>
          <w:b w:val="false"/>
          <w:i w:val="false"/>
          <w:color w:val="000000"/>
          <w:sz w:val="24"/>
        </w:rPr>
        <w:t xml:space="preserve"> through </w:t>
      </w:r>
      <w:hyperlink r:id="rId11">
        <w:r>
          <w:rPr>
            <w:rStyle w:val="Hyperlink"/>
            <w:rFonts w:ascii="Times New Roman" w:hAnsi="Times New Roman"/>
            <w:b w:val="false"/>
            <w:i w:val="false"/>
            <w:color w:val="000000"/>
            <w:sz w:val="24"/>
          </w:rPr>
          <w:t>60.5(6)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60.5(8)</w:t>
      </w:r>
      <w:r>
        <w:rPr>
          <w:rFonts w:ascii="Times New Roman" w:hAnsi="Times New Roman"/>
          <w:b w:val="false"/>
          <w:i w:val="false"/>
          <w:color w:val="000000"/>
          <w:sz w:val="24"/>
        </w:rPr>
        <w:t> </w:t>
      </w:r>
      <w:r>
        <w:rPr>
          <w:rFonts w:ascii="Times New Roman" w:hAnsi="Times New Roman"/>
          <w:b w:val="false"/>
          <w:i/>
          <w:color w:val="000000"/>
          <w:sz w:val="24"/>
        </w:rPr>
        <w:t xml:space="preserve">Sign. </w:t>
      </w:r>
      <w:r>
        <w:rPr>
          <w:rFonts w:ascii="Times New Roman" w:hAnsi="Times New Roman"/>
          <w:b w:val="false"/>
          <w:i w:val="false"/>
          <w:color w:val="000000"/>
          <w:sz w:val="24"/>
        </w:rPr>
        <w:t xml:space="preserve">Any signs required by other governmental bodies may be used to comply with Iowa Code section </w:t>
      </w:r>
      <w:hyperlink r:id="rId12">
        <w:r>
          <w:rPr>
            <w:rStyle w:val="Hyperlink"/>
            <w:rFonts w:ascii="Times New Roman" w:hAnsi="Times New Roman"/>
            <w:b w:val="false"/>
            <w:i w:val="false"/>
            <w:color w:val="000000"/>
            <w:sz w:val="24"/>
          </w:rPr>
          <w:t>208.9(2)</w:t>
        </w:r>
      </w:hyperlink>
      <w:r>
        <w:rPr>
          <w:rFonts w:ascii="Times New Roman" w:hAnsi="Times New Roman"/>
          <w:b w:val="false"/>
          <w:i w:val="false"/>
          <w:color w:val="000000"/>
          <w:sz w:val="24"/>
        </w:rPr>
        <w:t xml:space="preserve"> provided that the sign is posted at the main entrance of the site or at the scale house, if the scale house is visible from the nearest roadway, and includes the operator’s name, telephone number, and the site registration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60.5(9)</w:t>
      </w:r>
      <w:r>
        <w:rPr>
          <w:rFonts w:ascii="Times New Roman" w:hAnsi="Times New Roman"/>
          <w:b w:val="false"/>
          <w:i w:val="false"/>
          <w:color w:val="000000"/>
          <w:sz w:val="24"/>
        </w:rPr>
        <w:t> </w:t>
      </w:r>
      <w:r>
        <w:rPr>
          <w:rFonts w:ascii="Times New Roman" w:hAnsi="Times New Roman"/>
          <w:b w:val="false"/>
          <w:i/>
          <w:color w:val="000000"/>
          <w:sz w:val="24"/>
        </w:rPr>
        <w:t xml:space="preserve">Duration of registration. </w:t>
      </w:r>
      <w:r>
        <w:rPr>
          <w:rFonts w:ascii="Times New Roman" w:hAnsi="Times New Roman"/>
          <w:b w:val="false"/>
          <w:i w:val="false"/>
          <w:color w:val="000000"/>
          <w:sz w:val="24"/>
        </w:rPr>
        <w:t>A valid registration shall be maintained by the operator until approval for release has been granted by the division.</w:t>
      </w:r>
    </w:p>
    <w:p>
      <w:pPr>
        <w:spacing w:before="0" w:after="0" w:line="480"/>
        <w:ind w:left="120"/>
        <w:jc w:val="both"/>
      </w:pPr>
      <w:r>
        <w:rPr>
          <w:rFonts w:ascii="Times New Roman" w:hAnsi="Times New Roman"/>
          <w:b/>
          <w:i w:val="false"/>
          <w:color w:val="000000"/>
          <w:sz w:val="24"/>
        </w:rPr>
        <w:t>27—60.6</w:t>
      </w:r>
      <w:r>
        <w:rPr>
          <w:rFonts w:ascii="Times New Roman" w:hAnsi="Times New Roman"/>
          <w:b/>
          <w:i w:val="false"/>
          <w:color w:val="000000"/>
          <w:sz w:val="24"/>
        </w:rPr>
        <w:t xml:space="preserve">(208) </w:t>
      </w:r>
      <w:r>
        <w:rPr>
          <w:rFonts w:ascii="Times New Roman" w:hAnsi="Times New Roman"/>
          <w:b/>
          <w:i w:val="false"/>
          <w:color w:val="000000"/>
          <w:sz w:val="24"/>
        </w:rPr>
        <w:t xml:space="preserve">Registration renewal and fee.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60.6(1)</w:t>
      </w:r>
      <w:r>
        <w:rPr>
          <w:rFonts w:ascii="Times New Roman" w:hAnsi="Times New Roman"/>
          <w:b w:val="false"/>
          <w:i w:val="false"/>
          <w:color w:val="000000"/>
          <w:sz w:val="24"/>
        </w:rPr>
        <w:t> </w:t>
      </w:r>
      <w:r>
        <w:rPr>
          <w:rFonts w:ascii="Times New Roman" w:hAnsi="Times New Roman"/>
          <w:b w:val="false"/>
          <w:i/>
          <w:color w:val="000000"/>
          <w:sz w:val="24"/>
        </w:rPr>
        <w:t xml:space="preserve">Registration renewal. </w:t>
      </w:r>
      <w:r>
        <w:rPr>
          <w:rFonts w:ascii="Times New Roman" w:hAnsi="Times New Roman"/>
          <w:b w:val="false"/>
          <w:i w:val="false"/>
          <w:color w:val="000000"/>
          <w:sz w:val="24"/>
        </w:rPr>
        <w:t>All site registrations shall expire on December 31 of the second year. Registrations shall be renewed by the division upon submittal of renewal fee by the operator within 30 days of the expiration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60.6(2)</w:t>
      </w:r>
      <w:r>
        <w:rPr>
          <w:rFonts w:ascii="Times New Roman" w:hAnsi="Times New Roman"/>
          <w:b w:val="false"/>
          <w:i w:val="false"/>
          <w:color w:val="000000"/>
          <w:sz w:val="24"/>
        </w:rPr>
        <w:t> </w:t>
      </w:r>
      <w:r>
        <w:rPr>
          <w:rFonts w:ascii="Times New Roman" w:hAnsi="Times New Roman"/>
          <w:b w:val="false"/>
          <w:i/>
          <w:color w:val="000000"/>
          <w:sz w:val="24"/>
        </w:rPr>
        <w:t xml:space="preserve">Notice of registration renewal and fee.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registrations shall be renewed by the operator upon receipt of a fee statement from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registration renewal fee shall be $70 per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60.6(3)</w:t>
      </w:r>
      <w:r>
        <w:rPr>
          <w:rFonts w:ascii="Times New Roman" w:hAnsi="Times New Roman"/>
          <w:b w:val="false"/>
          <w:i w:val="false"/>
          <w:color w:val="000000"/>
          <w:sz w:val="24"/>
        </w:rPr>
        <w:t> </w:t>
      </w:r>
      <w:r>
        <w:rPr>
          <w:rFonts w:ascii="Times New Roman" w:hAnsi="Times New Roman"/>
          <w:b w:val="false"/>
          <w:i/>
          <w:color w:val="000000"/>
          <w:sz w:val="24"/>
        </w:rPr>
        <w:t xml:space="preserve">Changes in a registration. </w:t>
      </w:r>
      <w:r>
        <w:rPr>
          <w:rFonts w:ascii="Times New Roman" w:hAnsi="Times New Roman"/>
          <w:b w:val="false"/>
          <w:i w:val="false"/>
          <w:color w:val="000000"/>
          <w:sz w:val="24"/>
        </w:rPr>
        <w:t xml:space="preserve">If, in the course of operation, any changes in the description, size or boundaries of a site become necessary the licensee shall be required to file a new registration application in accordance with rule </w:t>
      </w:r>
      <w:hyperlink r:id="rId13">
        <w:r>
          <w:rPr>
            <w:rStyle w:val="Hyperlink"/>
            <w:rFonts w:ascii="Times New Roman" w:hAnsi="Times New Roman"/>
            <w:b w:val="false"/>
            <w:i w:val="false"/>
            <w:color w:val="000000"/>
            <w:sz w:val="24"/>
          </w:rPr>
          <w:t>27—60.5</w:t>
        </w:r>
      </w:hyperlink>
      <w:r>
        <w:rPr>
          <w:rFonts w:ascii="Times New Roman" w:hAnsi="Times New Roman"/>
          <w:b w:val="false"/>
          <w:i w:val="false"/>
          <w:color w:val="000000"/>
          <w:sz w:val="24"/>
        </w:rPr>
        <w:t>(208).</w:t>
      </w:r>
    </w:p>
    <w:p>
      <w:pPr>
        <w:spacing w:before="0" w:after="0" w:line="480"/>
        <w:ind w:left="120"/>
        <w:jc w:val="both"/>
      </w:pPr>
      <w:r>
        <w:rPr>
          <w:rFonts w:ascii="Times New Roman" w:hAnsi="Times New Roman"/>
          <w:b/>
          <w:i w:val="false"/>
          <w:color w:val="000000"/>
          <w:sz w:val="24"/>
        </w:rPr>
        <w:t>27—60.7</w:t>
      </w:r>
      <w:r>
        <w:rPr>
          <w:rFonts w:ascii="Times New Roman" w:hAnsi="Times New Roman"/>
          <w:b/>
          <w:i w:val="false"/>
          <w:color w:val="000000"/>
          <w:sz w:val="24"/>
        </w:rPr>
        <w:t xml:space="preserve">(208) </w:t>
      </w:r>
      <w:r>
        <w:rPr>
          <w:rFonts w:ascii="Times New Roman" w:hAnsi="Times New Roman"/>
          <w:b/>
          <w:i w:val="false"/>
          <w:color w:val="000000"/>
          <w:sz w:val="24"/>
        </w:rPr>
        <w:t xml:space="preserve">Bonding. </w:t>
      </w:r>
      <w:r>
        <w:rPr>
          <w:rFonts w:ascii="Times New Roman" w:hAnsi="Times New Roman"/>
          <w:b w:val="false"/>
          <w:i w:val="false"/>
          <w:color w:val="000000"/>
          <w:sz w:val="24"/>
        </w:rPr>
        <w:t xml:space="preserve">Bond is required by these rules and by Iowa Code chapter </w:t>
      </w:r>
      <w:hyperlink r:id="rId14">
        <w:r>
          <w:rPr>
            <w:rStyle w:val="Hyperlink"/>
            <w:rFonts w:ascii="Times New Roman" w:hAnsi="Times New Roman"/>
            <w:b w:val="false"/>
            <w:i w:val="false"/>
            <w:color w:val="000000"/>
            <w:sz w:val="24"/>
          </w:rPr>
          <w:t>208</w:t>
        </w:r>
      </w:hyperlink>
      <w:r>
        <w:rPr>
          <w:rFonts w:ascii="Times New Roman" w:hAnsi="Times New Roman"/>
          <w:b w:val="false"/>
          <w:i w:val="false"/>
          <w:color w:val="000000"/>
          <w:sz w:val="24"/>
        </w:rPr>
        <w:t xml:space="preserve"> to ensure that all applicable mineral operations are properly reclaimed. Failure on the part of an operator to accomplish required reclamation may result in forfeiture of the bond by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60.7(1)</w:t>
      </w:r>
      <w:r>
        <w:rPr>
          <w:rFonts w:ascii="Times New Roman" w:hAnsi="Times New Roman"/>
          <w:b w:val="false"/>
          <w:i w:val="false"/>
          <w:color w:val="000000"/>
          <w:sz w:val="24"/>
        </w:rPr>
        <w:t> </w:t>
      </w:r>
      <w:r>
        <w:rPr>
          <w:rFonts w:ascii="Times New Roman" w:hAnsi="Times New Roman"/>
          <w:b w:val="false"/>
          <w:i/>
          <w:color w:val="000000"/>
          <w:sz w:val="24"/>
        </w:rPr>
        <w:t xml:space="preserve">Bonding requirements. </w:t>
      </w:r>
      <w:r>
        <w:rPr>
          <w:rFonts w:ascii="Times New Roman" w:hAnsi="Times New Roman"/>
          <w:b w:val="false"/>
          <w:i w:val="false"/>
          <w:color w:val="000000"/>
          <w:sz w:val="24"/>
        </w:rPr>
        <w:t xml:space="preserve">Each registration application shall be accompanied by a bond or a bond endorsement increasing an already existing bond. The bond or bond increase shall be equal to the amount set forth by a representative of the division or, if no amount is stipulated, the minimum set forth in subrule </w:t>
      </w:r>
      <w:hyperlink r:id="rId15">
        <w:r>
          <w:rPr>
            <w:rStyle w:val="Hyperlink"/>
            <w:rFonts w:ascii="Times New Roman" w:hAnsi="Times New Roman"/>
            <w:b w:val="false"/>
            <w:i w:val="false"/>
            <w:color w:val="000000"/>
            <w:sz w:val="24"/>
          </w:rPr>
          <w:t>60.7(6)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60.7(2)</w:t>
      </w:r>
      <w:r>
        <w:rPr>
          <w:rFonts w:ascii="Times New Roman" w:hAnsi="Times New Roman"/>
          <w:b w:val="false"/>
          <w:i w:val="false"/>
          <w:color w:val="000000"/>
          <w:sz w:val="24"/>
        </w:rPr>
        <w:t> </w:t>
      </w:r>
      <w:r>
        <w:rPr>
          <w:rFonts w:ascii="Times New Roman" w:hAnsi="Times New Roman"/>
          <w:b w:val="false"/>
          <w:i/>
          <w:color w:val="000000"/>
          <w:sz w:val="24"/>
        </w:rPr>
        <w:t xml:space="preserve">Bond form. </w:t>
      </w:r>
      <w:r>
        <w:rPr>
          <w:rFonts w:ascii="Times New Roman" w:hAnsi="Times New Roman"/>
          <w:b w:val="false"/>
          <w:i w:val="false"/>
          <w:color w:val="000000"/>
          <w:sz w:val="24"/>
        </w:rPr>
        <w:t xml:space="preserve">All surety bonds shall be written on the form provided and approved by the division. In lieu of a surety bond, the operator may deposit cash or certificates of deposit with the division on the same conditions as prescribed by Iowa Code section </w:t>
      </w:r>
      <w:hyperlink r:id="rId16">
        <w:r>
          <w:rPr>
            <w:rStyle w:val="Hyperlink"/>
            <w:rFonts w:ascii="Times New Roman" w:hAnsi="Times New Roman"/>
            <w:b w:val="false"/>
            <w:i w:val="false"/>
            <w:color w:val="000000"/>
            <w:sz w:val="24"/>
          </w:rPr>
          <w:t>208.23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60.7(3)</w:t>
      </w:r>
      <w:r>
        <w:rPr>
          <w:rFonts w:ascii="Times New Roman" w:hAnsi="Times New Roman"/>
          <w:b w:val="false"/>
          <w:i w:val="false"/>
          <w:color w:val="000000"/>
          <w:sz w:val="24"/>
        </w:rPr>
        <w:t> </w:t>
      </w:r>
      <w:r>
        <w:rPr>
          <w:rFonts w:ascii="Times New Roman" w:hAnsi="Times New Roman"/>
          <w:b w:val="false"/>
          <w:i/>
          <w:color w:val="000000"/>
          <w:sz w:val="24"/>
        </w:rPr>
        <w:t xml:space="preserve">Surety bond.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surety bond shall be written by a company authorized to do business in Iowa and shall be made on a form provided by the division. A surety bond shall be signed by the operator or an authorized representative of the operator as well as a representative of the surety.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surety bond shall be written to cover all acres affected by the mining process pursuant to Iowa Code chapter </w:t>
      </w:r>
      <w:hyperlink r:id="rId17">
        <w:r>
          <w:rPr>
            <w:rStyle w:val="Hyperlink"/>
            <w:rFonts w:ascii="Times New Roman" w:hAnsi="Times New Roman"/>
            <w:b w:val="false"/>
            <w:i w:val="false"/>
            <w:color w:val="000000"/>
            <w:sz w:val="24"/>
          </w:rPr>
          <w:t>208</w:t>
        </w:r>
      </w:hyperlink>
      <w:r>
        <w:rPr>
          <w:rFonts w:ascii="Times New Roman" w:hAnsi="Times New Roman"/>
          <w:b w:val="false"/>
          <w:i w:val="false"/>
          <w:color w:val="000000"/>
          <w:sz w:val="24"/>
        </w:rPr>
        <w:t>. An attachment shall be included as part of the bond document that lists the sites by name and location (county, township, range, section, and legal description). This attachment shall be signed by representatives of the surety and the principal.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60.7(4)</w:t>
      </w:r>
      <w:r>
        <w:rPr>
          <w:rFonts w:ascii="Times New Roman" w:hAnsi="Times New Roman"/>
          <w:b w:val="false"/>
          <w:i w:val="false"/>
          <w:color w:val="000000"/>
          <w:sz w:val="24"/>
        </w:rPr>
        <w:t> </w:t>
      </w:r>
      <w:r>
        <w:rPr>
          <w:rFonts w:ascii="Times New Roman" w:hAnsi="Times New Roman"/>
          <w:b w:val="false"/>
          <w:i/>
          <w:color w:val="000000"/>
          <w:sz w:val="24"/>
        </w:rPr>
        <w:t xml:space="preserve">Certificates of deposit. </w:t>
      </w:r>
      <w:r>
        <w:rPr>
          <w:rFonts w:ascii="Times New Roman" w:hAnsi="Times New Roman"/>
          <w:b w:val="false"/>
          <w:i w:val="false"/>
          <w:color w:val="000000"/>
          <w:sz w:val="24"/>
        </w:rPr>
        <w:t>Certificates of deposit posted as bond shall be made payable to the State of Iowa, Division of Soil Conservation and Water Quality AND (Operator). All interest earned shall be paid to the operator.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60.7(5)</w:t>
      </w:r>
      <w:r>
        <w:rPr>
          <w:rFonts w:ascii="Times New Roman" w:hAnsi="Times New Roman"/>
          <w:b w:val="false"/>
          <w:i w:val="false"/>
          <w:color w:val="000000"/>
          <w:sz w:val="24"/>
        </w:rPr>
        <w:t> </w:t>
      </w:r>
      <w:r>
        <w:rPr>
          <w:rFonts w:ascii="Times New Roman" w:hAnsi="Times New Roman"/>
          <w:b w:val="false"/>
          <w:i/>
          <w:color w:val="000000"/>
          <w:sz w:val="24"/>
        </w:rPr>
        <w:t xml:space="preserve">Cash. </w:t>
      </w:r>
      <w:r>
        <w:rPr>
          <w:rFonts w:ascii="Times New Roman" w:hAnsi="Times New Roman"/>
          <w:b w:val="false"/>
          <w:i w:val="false"/>
          <w:color w:val="000000"/>
          <w:sz w:val="24"/>
        </w:rPr>
        <w:t>Cash deposited as bond does not pay interest to the operator.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60.7(6)</w:t>
      </w:r>
      <w:r>
        <w:rPr>
          <w:rFonts w:ascii="Times New Roman" w:hAnsi="Times New Roman"/>
          <w:b w:val="false"/>
          <w:i w:val="false"/>
          <w:color w:val="000000"/>
          <w:sz w:val="24"/>
        </w:rPr>
        <w:t> </w:t>
      </w:r>
      <w:r>
        <w:rPr>
          <w:rFonts w:ascii="Times New Roman" w:hAnsi="Times New Roman"/>
          <w:b w:val="false"/>
          <w:i/>
          <w:color w:val="000000"/>
          <w:sz w:val="24"/>
        </w:rPr>
        <w:t xml:space="preserve">Minimum bond.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minimum required bond on each site shall be the greater of $2,000 per site or $500 per affected acre on the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Actual bond shall be based on factors including but not limited to affected lands, size of the site, thickness of overburden, type of mineral extracted, type of mining process, and stockpiling procedures for topsoil, overburden and product.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60.7(7)</w:t>
      </w:r>
      <w:r>
        <w:rPr>
          <w:rFonts w:ascii="Times New Roman" w:hAnsi="Times New Roman"/>
          <w:b w:val="false"/>
          <w:i w:val="false"/>
          <w:color w:val="000000"/>
          <w:sz w:val="24"/>
        </w:rPr>
        <w:t> </w:t>
      </w:r>
      <w:r>
        <w:rPr>
          <w:rFonts w:ascii="Times New Roman" w:hAnsi="Times New Roman"/>
          <w:b w:val="false"/>
          <w:i/>
          <w:color w:val="000000"/>
          <w:sz w:val="24"/>
        </w:rPr>
        <w:t xml:space="preserve">Interest-bearing account. </w:t>
      </w:r>
      <w:r>
        <w:rPr>
          <w:rFonts w:ascii="Times New Roman" w:hAnsi="Times New Roman"/>
          <w:b w:val="false"/>
          <w:i w:val="false"/>
          <w:color w:val="000000"/>
          <w:sz w:val="24"/>
        </w:rPr>
        <w:t xml:space="preserve">Penalties, interest, bond reversions and bond forfeitures collected under the provisions of Iowa Code chapter </w:t>
      </w:r>
      <w:hyperlink r:id="rId18">
        <w:r>
          <w:rPr>
            <w:rStyle w:val="Hyperlink"/>
            <w:rFonts w:ascii="Times New Roman" w:hAnsi="Times New Roman"/>
            <w:b w:val="false"/>
            <w:i w:val="false"/>
            <w:color w:val="000000"/>
            <w:sz w:val="24"/>
          </w:rPr>
          <w:t>208</w:t>
        </w:r>
      </w:hyperlink>
      <w:r>
        <w:rPr>
          <w:rFonts w:ascii="Times New Roman" w:hAnsi="Times New Roman"/>
          <w:b w:val="false"/>
          <w:i w:val="false"/>
          <w:color w:val="000000"/>
          <w:sz w:val="24"/>
        </w:rPr>
        <w:t xml:space="preserve"> or these rules shall be deposited in an interest-bearing account and may be used for the cost and administrative expense of reclamation or rehabilitation activities for any mine site as deemed necessary and appropriate by the division.</w:t>
      </w:r>
    </w:p>
    <w:p>
      <w:pPr>
        <w:spacing w:before="0" w:after="0" w:line="480"/>
        <w:ind w:left="120"/>
        <w:jc w:val="both"/>
      </w:pPr>
      <w:r>
        <w:rPr>
          <w:rFonts w:ascii="Times New Roman" w:hAnsi="Times New Roman"/>
          <w:b/>
          <w:i w:val="false"/>
          <w:color w:val="000000"/>
          <w:sz w:val="24"/>
        </w:rPr>
        <w:t>27—60.8</w:t>
      </w:r>
      <w:r>
        <w:rPr>
          <w:rFonts w:ascii="Times New Roman" w:hAnsi="Times New Roman"/>
          <w:b/>
          <w:i w:val="false"/>
          <w:color w:val="000000"/>
          <w:sz w:val="24"/>
        </w:rPr>
        <w:t xml:space="preserve">(208) </w:t>
      </w:r>
      <w:r>
        <w:rPr>
          <w:rFonts w:ascii="Times New Roman" w:hAnsi="Times New Roman"/>
          <w:b/>
          <w:i w:val="false"/>
          <w:color w:val="000000"/>
          <w:sz w:val="24"/>
        </w:rPr>
        <w:t xml:space="preserve">Bond release.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60.8(1)</w:t>
      </w:r>
      <w:r>
        <w:rPr>
          <w:rFonts w:ascii="Times New Roman" w:hAnsi="Times New Roman"/>
          <w:b w:val="false"/>
          <w:i w:val="false"/>
          <w:color w:val="000000"/>
          <w:sz w:val="24"/>
        </w:rPr>
        <w:t> </w:t>
      </w:r>
      <w:r>
        <w:rPr>
          <w:rFonts w:ascii="Times New Roman" w:hAnsi="Times New Roman"/>
          <w:b w:val="false"/>
          <w:i/>
          <w:color w:val="000000"/>
          <w:sz w:val="24"/>
        </w:rPr>
        <w:t xml:space="preserve">Release of bond. </w:t>
      </w:r>
      <w:r>
        <w:rPr>
          <w:rFonts w:ascii="Times New Roman" w:hAnsi="Times New Roman"/>
          <w:b w:val="false"/>
          <w:i w:val="false"/>
          <w:color w:val="000000"/>
          <w:sz w:val="24"/>
        </w:rPr>
        <w:t xml:space="preserve">No bond shall be released unless the bonded area has met reclamation requirements of Iowa Code section </w:t>
      </w:r>
      <w:hyperlink r:id="rId19">
        <w:r>
          <w:rPr>
            <w:rStyle w:val="Hyperlink"/>
            <w:rFonts w:ascii="Times New Roman" w:hAnsi="Times New Roman"/>
            <w:b w:val="false"/>
            <w:i w:val="false"/>
            <w:color w:val="000000"/>
            <w:sz w:val="24"/>
          </w:rPr>
          <w:t>208.17</w:t>
        </w:r>
      </w:hyperlink>
      <w:r>
        <w:rPr>
          <w:rFonts w:ascii="Times New Roman" w:hAnsi="Times New Roman"/>
          <w:b w:val="false"/>
          <w:i w:val="false"/>
          <w:color w:val="000000"/>
          <w:sz w:val="24"/>
        </w:rPr>
        <w:t>, a replacement bond has been filed, or the site has been registered by another licensed operator who agrees, in writing, to complete all remaining required reclamation and has a valid registration for the site(s) in question.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60.8(2)</w:t>
      </w:r>
      <w:r>
        <w:rPr>
          <w:rFonts w:ascii="Times New Roman" w:hAnsi="Times New Roman"/>
          <w:b w:val="false"/>
          <w:i w:val="false"/>
          <w:color w:val="000000"/>
          <w:sz w:val="24"/>
        </w:rPr>
        <w:t> </w:t>
      </w:r>
      <w:r>
        <w:rPr>
          <w:rFonts w:ascii="Times New Roman" w:hAnsi="Times New Roman"/>
          <w:b w:val="false"/>
          <w:i/>
          <w:color w:val="000000"/>
          <w:sz w:val="24"/>
        </w:rPr>
        <w:t xml:space="preserve">Bond release request. </w:t>
      </w:r>
      <w:r>
        <w:rPr>
          <w:rFonts w:ascii="Times New Roman" w:hAnsi="Times New Roman"/>
          <w:b w:val="false"/>
          <w:i w:val="false"/>
          <w:color w:val="000000"/>
          <w:sz w:val="24"/>
        </w:rPr>
        <w:t>When a bond needs to be decreased, replaced, or is no longer needed, a Request for Bond Release form shall be filed by the operator, a registered agent, or an authorized representative. One Request for Bond Release form shall be filed for each bond.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60.8(3)</w:t>
      </w:r>
      <w:r>
        <w:rPr>
          <w:rFonts w:ascii="Times New Roman" w:hAnsi="Times New Roman"/>
          <w:b w:val="false"/>
          <w:i w:val="false"/>
          <w:color w:val="000000"/>
          <w:sz w:val="24"/>
        </w:rPr>
        <w:t> </w:t>
      </w:r>
      <w:r>
        <w:rPr>
          <w:rFonts w:ascii="Times New Roman" w:hAnsi="Times New Roman"/>
          <w:b w:val="false"/>
          <w:i/>
          <w:color w:val="000000"/>
          <w:sz w:val="24"/>
        </w:rPr>
        <w:t xml:space="preserve">Return of bond.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Upon release of a certificate of deposit or cash posted as bond, the certificate of deposit or cash payment shall be returned to the operator.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Upon the release of a surety bond, the original bond shall be returned to the surety company and the operator shall be notified of the action by the mailing of a courtesy copy.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60.8(4)</w:t>
      </w:r>
      <w:r>
        <w:rPr>
          <w:rFonts w:ascii="Times New Roman" w:hAnsi="Times New Roman"/>
          <w:b w:val="false"/>
          <w:i w:val="false"/>
          <w:color w:val="000000"/>
          <w:sz w:val="24"/>
        </w:rPr>
        <w:t> </w:t>
      </w:r>
      <w:r>
        <w:rPr>
          <w:rFonts w:ascii="Times New Roman" w:hAnsi="Times New Roman"/>
          <w:b w:val="false"/>
          <w:i/>
          <w:color w:val="000000"/>
          <w:sz w:val="24"/>
        </w:rPr>
        <w:t xml:space="preserve">Reverting of cash bond. </w:t>
      </w:r>
      <w:r>
        <w:rPr>
          <w:rFonts w:ascii="Times New Roman" w:hAnsi="Times New Roman"/>
          <w:b w:val="false"/>
          <w:i w:val="false"/>
          <w:color w:val="000000"/>
          <w:sz w:val="24"/>
        </w:rPr>
        <w:t>If the operator fails to request a release of cash bond after termination or expiration of a mining license, cash bond funds held shall revert to an interest-bearing account maintained by the division, provided a period of at least five years has elapsed since the license expiration. These funds may be used for the cost and administrative expenses of reclamation or rehabilitation activities for any mine site as deemed necessary and appropriate by the division.</w:t>
      </w:r>
    </w:p>
    <w:p>
      <w:pPr>
        <w:spacing w:before="0" w:after="0" w:line="480"/>
        <w:ind w:left="120"/>
        <w:jc w:val="both"/>
      </w:pPr>
      <w:r>
        <w:rPr>
          <w:rFonts w:ascii="Times New Roman" w:hAnsi="Times New Roman"/>
          <w:b/>
          <w:i w:val="false"/>
          <w:color w:val="000000"/>
          <w:sz w:val="24"/>
        </w:rPr>
        <w:t>27—60.9</w:t>
      </w:r>
      <w:r>
        <w:rPr>
          <w:rFonts w:ascii="Times New Roman" w:hAnsi="Times New Roman"/>
          <w:b/>
          <w:i w:val="false"/>
          <w:color w:val="000000"/>
          <w:sz w:val="24"/>
        </w:rPr>
        <w:t xml:space="preserve">(208) </w:t>
      </w:r>
      <w:r>
        <w:rPr>
          <w:rFonts w:ascii="Times New Roman" w:hAnsi="Times New Roman"/>
          <w:b/>
          <w:i w:val="false"/>
          <w:color w:val="000000"/>
          <w:sz w:val="24"/>
        </w:rPr>
        <w:t xml:space="preserve">Transfers.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60.9(1)</w:t>
      </w:r>
      <w:r>
        <w:rPr>
          <w:rFonts w:ascii="Times New Roman" w:hAnsi="Times New Roman"/>
          <w:b w:val="false"/>
          <w:i w:val="false"/>
          <w:color w:val="000000"/>
          <w:sz w:val="24"/>
        </w:rPr>
        <w:t> </w:t>
      </w:r>
      <w:r>
        <w:rPr>
          <w:rFonts w:ascii="Times New Roman" w:hAnsi="Times New Roman"/>
          <w:b w:val="false"/>
          <w:i/>
          <w:color w:val="000000"/>
          <w:sz w:val="24"/>
        </w:rPr>
        <w:t xml:space="preserve">Registration transfer request. </w:t>
      </w:r>
      <w:r>
        <w:rPr>
          <w:rFonts w:ascii="Times New Roman" w:hAnsi="Times New Roman"/>
          <w:b w:val="false"/>
          <w:i w:val="false"/>
          <w:color w:val="000000"/>
          <w:sz w:val="24"/>
        </w:rPr>
        <w:t>If control of a registered site is acquired by an operator other than the operator holding authorization to conduct surface mining on the site, then both operators shall fill out the required portions of a Transfer Application form. The completed form shall then be filed with the division within 30 days of the actual transfer and prior to the start of any work by the new operator.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60.9(2)</w:t>
      </w:r>
      <w:r>
        <w:rPr>
          <w:rFonts w:ascii="Times New Roman" w:hAnsi="Times New Roman"/>
          <w:b w:val="false"/>
          <w:i w:val="false"/>
          <w:color w:val="000000"/>
          <w:sz w:val="24"/>
        </w:rPr>
        <w:t> </w:t>
      </w:r>
      <w:r>
        <w:rPr>
          <w:rFonts w:ascii="Times New Roman" w:hAnsi="Times New Roman"/>
          <w:b w:val="false"/>
          <w:i/>
          <w:color w:val="000000"/>
          <w:sz w:val="24"/>
        </w:rPr>
        <w:t xml:space="preserve">Transfer information. </w:t>
      </w:r>
      <w:r>
        <w:rPr>
          <w:rFonts w:ascii="Times New Roman" w:hAnsi="Times New Roman"/>
          <w:b w:val="false"/>
          <w:i w:val="false"/>
          <w:color w:val="000000"/>
          <w:sz w:val="24"/>
        </w:rPr>
        <w:t xml:space="preserve">In addition to the Transfer Application form, the new operator shall file a Registration Application form in accordance with rule </w:t>
      </w:r>
      <w:hyperlink r:id="rId20">
        <w:r>
          <w:rPr>
            <w:rStyle w:val="Hyperlink"/>
            <w:rFonts w:ascii="Times New Roman" w:hAnsi="Times New Roman"/>
            <w:b w:val="false"/>
            <w:i w:val="false"/>
            <w:color w:val="000000"/>
            <w:sz w:val="24"/>
          </w:rPr>
          <w:t>27—60.5</w:t>
        </w:r>
      </w:hyperlink>
      <w:r>
        <w:rPr>
          <w:rFonts w:ascii="Times New Roman" w:hAnsi="Times New Roman"/>
          <w:b w:val="false"/>
          <w:i w:val="false"/>
          <w:color w:val="000000"/>
          <w:sz w:val="24"/>
        </w:rPr>
        <w:t xml:space="preserve">(208). A Request for Bond Release may be filed by the original operator in accordance with rule </w:t>
      </w:r>
      <w:hyperlink r:id="rId21">
        <w:r>
          <w:rPr>
            <w:rStyle w:val="Hyperlink"/>
            <w:rFonts w:ascii="Times New Roman" w:hAnsi="Times New Roman"/>
            <w:b w:val="false"/>
            <w:i w:val="false"/>
            <w:color w:val="000000"/>
            <w:sz w:val="24"/>
          </w:rPr>
          <w:t>27—60.8</w:t>
        </w:r>
      </w:hyperlink>
      <w:r>
        <w:rPr>
          <w:rFonts w:ascii="Times New Roman" w:hAnsi="Times New Roman"/>
          <w:b w:val="false"/>
          <w:i w:val="false"/>
          <w:color w:val="000000"/>
          <w:sz w:val="24"/>
        </w:rPr>
        <w:t>(208).</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60.9(3)</w:t>
      </w:r>
      <w:r>
        <w:rPr>
          <w:rFonts w:ascii="Times New Roman" w:hAnsi="Times New Roman"/>
          <w:b w:val="false"/>
          <w:i w:val="false"/>
          <w:color w:val="000000"/>
          <w:sz w:val="24"/>
        </w:rPr>
        <w:t> </w:t>
      </w:r>
      <w:r>
        <w:rPr>
          <w:rFonts w:ascii="Times New Roman" w:hAnsi="Times New Roman"/>
          <w:b w:val="false"/>
          <w:i/>
          <w:color w:val="000000"/>
          <w:sz w:val="24"/>
        </w:rPr>
        <w:t xml:space="preserve">Transfer action. </w:t>
      </w:r>
      <w:r>
        <w:rPr>
          <w:rFonts w:ascii="Times New Roman" w:hAnsi="Times New Roman"/>
          <w:b w:val="false"/>
          <w:i w:val="false"/>
          <w:color w:val="000000"/>
          <w:sz w:val="24"/>
        </w:rPr>
        <w:t>No action shall be taken in relation to bond releases for the original operator or registration of the new operator regarding the site in question until the transfer request has been filed with the division and approved.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60.9(4)</w:t>
      </w:r>
      <w:r>
        <w:rPr>
          <w:rFonts w:ascii="Times New Roman" w:hAnsi="Times New Roman"/>
          <w:b w:val="false"/>
          <w:i w:val="false"/>
          <w:color w:val="000000"/>
          <w:sz w:val="24"/>
        </w:rPr>
        <w:t> </w:t>
      </w:r>
      <w:r>
        <w:rPr>
          <w:rFonts w:ascii="Times New Roman" w:hAnsi="Times New Roman"/>
          <w:b w:val="false"/>
          <w:i/>
          <w:color w:val="000000"/>
          <w:sz w:val="24"/>
        </w:rPr>
        <w:t xml:space="preserve">Other agreements. </w:t>
      </w:r>
      <w:r>
        <w:rPr>
          <w:rFonts w:ascii="Times New Roman" w:hAnsi="Times New Roman"/>
          <w:b w:val="false"/>
          <w:i w:val="false"/>
          <w:color w:val="000000"/>
          <w:sz w:val="24"/>
        </w:rPr>
        <w:t>A transfer request does not prevent the new operator from making any agreement with the previous operator or any other party dealing with reclamation or mining of the site.</w:t>
      </w:r>
    </w:p>
    <w:p>
      <w:pPr>
        <w:spacing w:before="0" w:after="0" w:line="480"/>
        <w:ind w:left="120"/>
        <w:jc w:val="both"/>
      </w:pPr>
      <w:r>
        <w:rPr>
          <w:rFonts w:ascii="Times New Roman" w:hAnsi="Times New Roman"/>
          <w:b/>
          <w:i w:val="false"/>
          <w:color w:val="000000"/>
          <w:sz w:val="24"/>
        </w:rPr>
        <w:t>27—60.10</w:t>
      </w:r>
      <w:r>
        <w:rPr>
          <w:rFonts w:ascii="Times New Roman" w:hAnsi="Times New Roman"/>
          <w:b/>
          <w:i w:val="false"/>
          <w:color w:val="000000"/>
          <w:sz w:val="24"/>
        </w:rPr>
        <w:t xml:space="preserve">(208) </w:t>
      </w:r>
      <w:r>
        <w:rPr>
          <w:rFonts w:ascii="Times New Roman" w:hAnsi="Times New Roman"/>
          <w:b/>
          <w:i w:val="false"/>
          <w:color w:val="000000"/>
          <w:sz w:val="24"/>
        </w:rPr>
        <w:t xml:space="preserve">Registration cancellation.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60.10(1)</w:t>
      </w:r>
      <w:r>
        <w:rPr>
          <w:rFonts w:ascii="Times New Roman" w:hAnsi="Times New Roman"/>
          <w:b w:val="false"/>
          <w:i w:val="false"/>
          <w:color w:val="000000"/>
          <w:sz w:val="24"/>
        </w:rPr>
        <w:t> </w:t>
      </w:r>
      <w:r>
        <w:rPr>
          <w:rFonts w:ascii="Times New Roman" w:hAnsi="Times New Roman"/>
          <w:b w:val="false"/>
          <w:i/>
          <w:color w:val="000000"/>
          <w:sz w:val="24"/>
        </w:rPr>
        <w:t xml:space="preserve">Reclamation approval request. </w:t>
      </w:r>
      <w:r>
        <w:rPr>
          <w:rFonts w:ascii="Times New Roman" w:hAnsi="Times New Roman"/>
          <w:b w:val="false"/>
          <w:i w:val="false"/>
          <w:color w:val="000000"/>
          <w:sz w:val="24"/>
        </w:rPr>
        <w:t>Upon completion of reclamation activities on a mine site or any part thereof, the operator may file a Reclamation Approval Request with the division. The form shall be completed and signed by the operator.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60.10(2)</w:t>
      </w:r>
      <w:r>
        <w:rPr>
          <w:rFonts w:ascii="Times New Roman" w:hAnsi="Times New Roman"/>
          <w:b w:val="false"/>
          <w:i w:val="false"/>
          <w:color w:val="000000"/>
          <w:sz w:val="24"/>
        </w:rPr>
        <w:t> </w:t>
      </w:r>
      <w:r>
        <w:rPr>
          <w:rFonts w:ascii="Times New Roman" w:hAnsi="Times New Roman"/>
          <w:b w:val="false"/>
          <w:i/>
          <w:color w:val="000000"/>
          <w:sz w:val="24"/>
        </w:rPr>
        <w:t xml:space="preserve">Inspection for approval. </w:t>
      </w:r>
      <w:r>
        <w:rPr>
          <w:rFonts w:ascii="Times New Roman" w:hAnsi="Times New Roman"/>
          <w:b w:val="false"/>
          <w:i w:val="false"/>
          <w:color w:val="000000"/>
          <w:sz w:val="24"/>
        </w:rPr>
        <w:t>Upon receiving a request, the division shall, within 12 months, visit the site in question and shall respond, in writing, to the operator indicating either the approval or disapproval of the site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60.10(3)</w:t>
      </w:r>
      <w:r>
        <w:rPr>
          <w:rFonts w:ascii="Times New Roman" w:hAnsi="Times New Roman"/>
          <w:b w:val="false"/>
          <w:i w:val="false"/>
          <w:color w:val="000000"/>
          <w:sz w:val="24"/>
        </w:rPr>
        <w:t> </w:t>
      </w:r>
      <w:r>
        <w:rPr>
          <w:rFonts w:ascii="Times New Roman" w:hAnsi="Times New Roman"/>
          <w:b w:val="false"/>
          <w:i/>
          <w:color w:val="000000"/>
          <w:sz w:val="24"/>
        </w:rPr>
        <w:t xml:space="preserve">Approval denied. </w:t>
      </w:r>
      <w:r>
        <w:rPr>
          <w:rFonts w:ascii="Times New Roman" w:hAnsi="Times New Roman"/>
          <w:b w:val="false"/>
          <w:i w:val="false"/>
          <w:color w:val="000000"/>
          <w:sz w:val="24"/>
        </w:rPr>
        <w:t>If the site condition is not approved, the division shall notify the operator, in writing, and explain the reason for the disapproval. The operator shall then complete the reclamation specified by the division and reapply for approval.</w:t>
      </w:r>
    </w:p>
    <w:p>
      <w:pPr>
        <w:spacing w:before="0" w:after="0" w:line="480"/>
        <w:ind w:left="120"/>
        <w:jc w:val="both"/>
      </w:pPr>
      <w:r>
        <w:rPr>
          <w:rFonts w:ascii="Times New Roman" w:hAnsi="Times New Roman"/>
          <w:b/>
          <w:i w:val="false"/>
          <w:color w:val="000000"/>
          <w:sz w:val="24"/>
        </w:rPr>
        <w:t>27—60.11</w:t>
      </w:r>
      <w:r>
        <w:rPr>
          <w:rFonts w:ascii="Times New Roman" w:hAnsi="Times New Roman"/>
          <w:b/>
          <w:i w:val="false"/>
          <w:color w:val="000000"/>
          <w:sz w:val="24"/>
        </w:rPr>
        <w:t xml:space="preserve">(208) </w:t>
      </w:r>
      <w:r>
        <w:rPr>
          <w:rFonts w:ascii="Times New Roman" w:hAnsi="Times New Roman"/>
          <w:b/>
          <w:i w:val="false"/>
          <w:color w:val="000000"/>
          <w:sz w:val="24"/>
        </w:rPr>
        <w:t xml:space="preserve">Enforcement actions.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60.11(1)</w:t>
      </w:r>
      <w:r>
        <w:rPr>
          <w:rFonts w:ascii="Times New Roman" w:hAnsi="Times New Roman"/>
          <w:b w:val="false"/>
          <w:i w:val="false"/>
          <w:color w:val="000000"/>
          <w:sz w:val="24"/>
        </w:rPr>
        <w:t> </w:t>
      </w:r>
      <w:r>
        <w:rPr>
          <w:rFonts w:ascii="Times New Roman" w:hAnsi="Times New Roman"/>
          <w:b w:val="false"/>
          <w:i/>
          <w:color w:val="000000"/>
          <w:sz w:val="24"/>
        </w:rPr>
        <w:t xml:space="preserve">Notice of violation. </w:t>
      </w:r>
      <w:r>
        <w:rPr>
          <w:rFonts w:ascii="Times New Roman" w:hAnsi="Times New Roman"/>
          <w:b w:val="false"/>
          <w:i w:val="false"/>
          <w:color w:val="000000"/>
          <w:sz w:val="24"/>
        </w:rPr>
        <w:t xml:space="preserve">Notice to an operator of violations of these rules or Iowa Code chapter </w:t>
      </w:r>
      <w:hyperlink r:id="rId22">
        <w:r>
          <w:rPr>
            <w:rStyle w:val="Hyperlink"/>
            <w:rFonts w:ascii="Times New Roman" w:hAnsi="Times New Roman"/>
            <w:b w:val="false"/>
            <w:i w:val="false"/>
            <w:color w:val="000000"/>
            <w:sz w:val="24"/>
          </w:rPr>
          <w:t>208</w:t>
        </w:r>
      </w:hyperlink>
      <w:r>
        <w:rPr>
          <w:rFonts w:ascii="Times New Roman" w:hAnsi="Times New Roman"/>
          <w:b w:val="false"/>
          <w:i w:val="false"/>
          <w:color w:val="000000"/>
          <w:sz w:val="24"/>
        </w:rPr>
        <w:t xml:space="preserve">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description of the violation, including a citation of the rule or statute violated,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description of the action required to abate the violation,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deadline for abatement.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60.11(2)</w:t>
      </w:r>
      <w:r>
        <w:rPr>
          <w:rFonts w:ascii="Times New Roman" w:hAnsi="Times New Roman"/>
          <w:b w:val="false"/>
          <w:i w:val="false"/>
          <w:color w:val="000000"/>
          <w:sz w:val="24"/>
        </w:rPr>
        <w:t> </w:t>
      </w:r>
      <w:r>
        <w:rPr>
          <w:rFonts w:ascii="Times New Roman" w:hAnsi="Times New Roman"/>
          <w:b w:val="false"/>
          <w:i/>
          <w:color w:val="000000"/>
          <w:sz w:val="24"/>
        </w:rPr>
        <w:t xml:space="preserve">Issuance of administrative order. </w:t>
      </w:r>
      <w:r>
        <w:rPr>
          <w:rFonts w:ascii="Times New Roman" w:hAnsi="Times New Roman"/>
          <w:b w:val="false"/>
          <w:i w:val="false"/>
          <w:color w:val="000000"/>
          <w:sz w:val="24"/>
        </w:rPr>
        <w:t xml:space="preserve">If an operation fails to complete abatement measures in the time allowed, the division may initiate an administrative order in accordance with these rules and Iowa Code chapter </w:t>
      </w:r>
      <w:hyperlink r:id="rId23">
        <w:r>
          <w:rPr>
            <w:rStyle w:val="Hyperlink"/>
            <w:rFonts w:ascii="Times New Roman" w:hAnsi="Times New Roman"/>
            <w:b w:val="false"/>
            <w:i w:val="false"/>
            <w:color w:val="000000"/>
            <w:sz w:val="24"/>
          </w:rPr>
          <w:t>208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60.11(3)</w:t>
      </w:r>
      <w:r>
        <w:rPr>
          <w:rFonts w:ascii="Times New Roman" w:hAnsi="Times New Roman"/>
          <w:b w:val="false"/>
          <w:i w:val="false"/>
          <w:color w:val="000000"/>
          <w:sz w:val="24"/>
        </w:rPr>
        <w:t> </w:t>
      </w:r>
      <w:r>
        <w:rPr>
          <w:rFonts w:ascii="Times New Roman" w:hAnsi="Times New Roman"/>
          <w:b w:val="false"/>
          <w:i/>
          <w:color w:val="000000"/>
          <w:sz w:val="24"/>
        </w:rPr>
        <w:t xml:space="preserve">Referral to attorney general. </w:t>
      </w:r>
      <w:r>
        <w:rPr>
          <w:rFonts w:ascii="Times New Roman" w:hAnsi="Times New Roman"/>
          <w:b w:val="false"/>
          <w:i w:val="false"/>
          <w:color w:val="000000"/>
          <w:sz w:val="24"/>
        </w:rPr>
        <w:t xml:space="preserve">Pursuant to Iowa Code section </w:t>
      </w:r>
      <w:hyperlink r:id="rId24">
        <w:r>
          <w:rPr>
            <w:rStyle w:val="Hyperlink"/>
            <w:rFonts w:ascii="Times New Roman" w:hAnsi="Times New Roman"/>
            <w:b w:val="false"/>
            <w:i w:val="false"/>
            <w:color w:val="000000"/>
            <w:sz w:val="24"/>
          </w:rPr>
          <w:t>208.10A</w:t>
        </w:r>
      </w:hyperlink>
      <w:r>
        <w:rPr>
          <w:rFonts w:ascii="Times New Roman" w:hAnsi="Times New Roman"/>
          <w:b w:val="false"/>
          <w:i w:val="false"/>
          <w:color w:val="000000"/>
          <w:sz w:val="24"/>
        </w:rPr>
        <w:t>, the division may also notify the attorney general in the event of noncompliance by the operator following notice. The attorney general shall institute a civil action in district court for injunctive relief and for the assessment of a civil penalty not to exceed $10,000. The division may make such referral either in lieu of or in conjunction with the issuance of an administrative order.</w:t>
      </w:r>
    </w:p>
    <w:p>
      <w:pPr>
        <w:spacing w:before="0" w:after="0" w:line="480"/>
        <w:ind w:left="120"/>
        <w:jc w:val="both"/>
      </w:pPr>
      <w:r>
        <w:rPr>
          <w:rFonts w:ascii="Times New Roman" w:hAnsi="Times New Roman"/>
          <w:b/>
          <w:i w:val="false"/>
          <w:color w:val="000000"/>
          <w:sz w:val="24"/>
        </w:rPr>
        <w:t>27—60.12</w:t>
      </w:r>
      <w:r>
        <w:rPr>
          <w:rFonts w:ascii="Times New Roman" w:hAnsi="Times New Roman"/>
          <w:b/>
          <w:i w:val="false"/>
          <w:color w:val="000000"/>
          <w:sz w:val="24"/>
        </w:rPr>
        <w:t xml:space="preserve">(208) </w:t>
      </w:r>
      <w:r>
        <w:rPr>
          <w:rFonts w:ascii="Times New Roman" w:hAnsi="Times New Roman"/>
          <w:b/>
          <w:i w:val="false"/>
          <w:color w:val="000000"/>
          <w:sz w:val="24"/>
        </w:rPr>
        <w:t xml:space="preserve">Annual mining report.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60.12(1)</w:t>
      </w:r>
      <w:r>
        <w:rPr>
          <w:rFonts w:ascii="Times New Roman" w:hAnsi="Times New Roman"/>
          <w:b w:val="false"/>
          <w:i w:val="false"/>
          <w:color w:val="000000"/>
          <w:sz w:val="24"/>
        </w:rPr>
        <w:t> </w:t>
      </w:r>
      <w:r>
        <w:rPr>
          <w:rFonts w:ascii="Times New Roman" w:hAnsi="Times New Roman"/>
          <w:b w:val="false"/>
          <w:i/>
          <w:color w:val="000000"/>
          <w:sz w:val="24"/>
        </w:rPr>
        <w:t xml:space="preserve">Annual reports—surface operations. </w:t>
      </w:r>
      <w:r>
        <w:rPr>
          <w:rFonts w:ascii="Times New Roman" w:hAnsi="Times New Roman"/>
          <w:b w:val="false"/>
          <w:i w:val="false"/>
          <w:color w:val="000000"/>
          <w:sz w:val="24"/>
        </w:rPr>
        <w:t>Annual reports shall be filed for each site on the form provided by the division. These reports may include but shall not be limited to information concerning the location of the mine site, types of material mined, thickness and types of overburden materials, area of land disturbed during the report year, and area of land reclaimed during the report year, as well as any other pertinent information concerning the mining operation and deemed necessary by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60.12(2)</w:t>
      </w:r>
      <w:r>
        <w:rPr>
          <w:rFonts w:ascii="Times New Roman" w:hAnsi="Times New Roman"/>
          <w:b w:val="false"/>
          <w:i w:val="false"/>
          <w:color w:val="000000"/>
          <w:sz w:val="24"/>
        </w:rPr>
        <w:t> </w:t>
      </w:r>
      <w:r>
        <w:rPr>
          <w:rFonts w:ascii="Times New Roman" w:hAnsi="Times New Roman"/>
          <w:b w:val="false"/>
          <w:i/>
          <w:color w:val="000000"/>
          <w:sz w:val="24"/>
        </w:rPr>
        <w:t xml:space="preserve">Underground mine maps. </w:t>
      </w:r>
      <w:r>
        <w:rPr>
          <w:rFonts w:ascii="Times New Roman" w:hAnsi="Times New Roman"/>
          <w:b w:val="false"/>
          <w:i w:val="false"/>
          <w:color w:val="000000"/>
          <w:sz w:val="24"/>
        </w:rPr>
        <w:t xml:space="preserve">The state geologist shall provide the division with copies of each map and map extension received pursuant to Iowa Code section </w:t>
      </w:r>
      <w:hyperlink r:id="rId25">
        <w:r>
          <w:rPr>
            <w:rStyle w:val="Hyperlink"/>
            <w:rFonts w:ascii="Times New Roman" w:hAnsi="Times New Roman"/>
            <w:b w:val="false"/>
            <w:i w:val="false"/>
            <w:color w:val="000000"/>
            <w:sz w:val="24"/>
          </w:rPr>
          <w:t>456.11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60.12(3)</w:t>
      </w:r>
      <w:r>
        <w:rPr>
          <w:rFonts w:ascii="Times New Roman" w:hAnsi="Times New Roman"/>
          <w:b w:val="false"/>
          <w:i w:val="false"/>
          <w:color w:val="000000"/>
          <w:sz w:val="24"/>
        </w:rPr>
        <w:t> </w:t>
      </w:r>
      <w:r>
        <w:rPr>
          <w:rFonts w:ascii="Times New Roman" w:hAnsi="Times New Roman"/>
          <w:b w:val="false"/>
          <w:i/>
          <w:color w:val="000000"/>
          <w:sz w:val="24"/>
        </w:rPr>
        <w:t xml:space="preserve">Filing date. </w:t>
      </w:r>
      <w:r>
        <w:rPr>
          <w:rFonts w:ascii="Times New Roman" w:hAnsi="Times New Roman"/>
          <w:b w:val="false"/>
          <w:i w:val="false"/>
          <w:color w:val="000000"/>
          <w:sz w:val="24"/>
        </w:rPr>
        <w:t>Reports shall be filed by January 31 for the previous year. Reports not received within 30 days after the specified date shall invalidate the registration of a site.</w:t>
      </w:r>
    </w:p>
    <w:p>
      <w:pPr>
        <w:spacing w:before="0" w:after="0" w:line="480"/>
        <w:ind w:left="120"/>
        <w:jc w:val="both"/>
      </w:pPr>
      <w:r>
        <w:rPr>
          <w:rFonts w:ascii="Times New Roman" w:hAnsi="Times New Roman"/>
          <w:b/>
          <w:i w:val="false"/>
          <w:color w:val="000000"/>
          <w:sz w:val="24"/>
        </w:rPr>
        <w:t>27—60.13</w:t>
      </w:r>
      <w:r>
        <w:rPr>
          <w:rFonts w:ascii="Times New Roman" w:hAnsi="Times New Roman"/>
          <w:b/>
          <w:i w:val="false"/>
          <w:color w:val="000000"/>
          <w:sz w:val="24"/>
        </w:rPr>
        <w:t xml:space="preserve">(208) </w:t>
      </w:r>
      <w:r>
        <w:rPr>
          <w:rFonts w:ascii="Times New Roman" w:hAnsi="Times New Roman"/>
          <w:b/>
          <w:i w:val="false"/>
          <w:color w:val="000000"/>
          <w:sz w:val="24"/>
        </w:rPr>
        <w:t xml:space="preserve">General mining activities.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60.13(1)</w:t>
      </w:r>
      <w:r>
        <w:rPr>
          <w:rFonts w:ascii="Times New Roman" w:hAnsi="Times New Roman"/>
          <w:b w:val="false"/>
          <w:i w:val="false"/>
          <w:color w:val="000000"/>
          <w:sz w:val="24"/>
        </w:rPr>
        <w:t> </w:t>
      </w:r>
      <w:r>
        <w:rPr>
          <w:rFonts w:ascii="Times New Roman" w:hAnsi="Times New Roman"/>
          <w:b w:val="false"/>
          <w:i/>
          <w:color w:val="000000"/>
          <w:sz w:val="24"/>
        </w:rPr>
        <w:t xml:space="preserve">Topsoil and overburden stockpiles. </w:t>
      </w:r>
      <w:r>
        <w:rPr>
          <w:rFonts w:ascii="Times New Roman" w:hAnsi="Times New Roman"/>
          <w:b w:val="false"/>
          <w:i w:val="false"/>
          <w:color w:val="000000"/>
          <w:sz w:val="24"/>
        </w:rPr>
        <w:t>Topsoil shall not be buried or mixed with nontopsoil materials. All stockpiles (topsoil and overburden) shall be seeded and stabilized if they are to remain in place for a period of time in excess of 12 months.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60.13(2)</w:t>
      </w:r>
      <w:r>
        <w:rPr>
          <w:rFonts w:ascii="Times New Roman" w:hAnsi="Times New Roman"/>
          <w:b w:val="false"/>
          <w:i w:val="false"/>
          <w:color w:val="000000"/>
          <w:sz w:val="24"/>
        </w:rPr>
        <w:t> </w:t>
      </w:r>
      <w:r>
        <w:rPr>
          <w:rFonts w:ascii="Times New Roman" w:hAnsi="Times New Roman"/>
          <w:b w:val="false"/>
          <w:i/>
          <w:color w:val="000000"/>
          <w:sz w:val="24"/>
        </w:rPr>
        <w:t xml:space="preserve">Erosion control. </w:t>
      </w:r>
      <w:r>
        <w:rPr>
          <w:rFonts w:ascii="Times New Roman" w:hAnsi="Times New Roman"/>
          <w:b w:val="false"/>
          <w:i w:val="false"/>
          <w:color w:val="000000"/>
          <w:sz w:val="24"/>
        </w:rPr>
        <w:t>Affected areas that will not be disturbed by future operations shall be graded, disked, mulched, fertilized, and seeded as necessary within a period of nine months to attain substantial and appropriate grass, legume, shrub, tree, crop, or other acceptable species and to ensure viable erosion control.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60.13(3)</w:t>
      </w:r>
      <w:r>
        <w:rPr>
          <w:rFonts w:ascii="Times New Roman" w:hAnsi="Times New Roman"/>
          <w:b w:val="false"/>
          <w:i w:val="false"/>
          <w:color w:val="000000"/>
          <w:sz w:val="24"/>
        </w:rPr>
        <w:t> </w:t>
      </w:r>
      <w:r>
        <w:rPr>
          <w:rFonts w:ascii="Times New Roman" w:hAnsi="Times New Roman"/>
          <w:b w:val="false"/>
          <w:i/>
          <w:color w:val="000000"/>
          <w:sz w:val="24"/>
        </w:rPr>
        <w:t xml:space="preserve">Setback.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minimum excavation setback distance of 25 feet shall be maintained from all registered site boundaries to protect the adjacent property from erosion or damage that might result from mining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 areas where excavation depth exceeds 25 feet, a minimum excavation setback distance of at least 50 feet shall be maintained from registered site boundaries.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minimum excavation setback distance of 50 feet shall be maintained from all buildings, dwellings, public right-of-way boundaries and other man-made structures not associated with the mining operation.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requirements of this subrule shall not apply to registered operations where mining has exceeded the setback limitation as of January 1, 1991, provided that the operator has filed adequate documentation as of July 1, 1991, detailing the area being grandfathered into these requirements.</w:t>
      </w:r>
    </w:p>
    <w:p>
      <w:pPr>
        <w:spacing w:before="0" w:after="0" w:line="480"/>
        <w:ind w:left="120"/>
        <w:jc w:val="both"/>
      </w:pPr>
      <w:r>
        <w:rPr>
          <w:rFonts w:ascii="Times New Roman" w:hAnsi="Times New Roman"/>
          <w:b w:val="false"/>
          <w:i w:val="false"/>
          <w:color w:val="000000"/>
          <w:sz w:val="24"/>
        </w:rPr>
        <w:t>The operator shall be responsible for maintaining a permanent record of all documentation once approved by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The division may grant a variance from this subrule, provided the operator submits a complete application that meets the requirements of rule </w:t>
      </w:r>
      <w:hyperlink r:id="rId26">
        <w:r>
          <w:rPr>
            <w:rStyle w:val="Hyperlink"/>
            <w:rFonts w:ascii="Times New Roman" w:hAnsi="Times New Roman"/>
            <w:b w:val="false"/>
            <w:i w:val="false"/>
            <w:color w:val="000000"/>
            <w:sz w:val="24"/>
          </w:rPr>
          <w:t>27—60.15</w:t>
        </w:r>
      </w:hyperlink>
      <w:r>
        <w:rPr>
          <w:rFonts w:ascii="Times New Roman" w:hAnsi="Times New Roman"/>
          <w:b w:val="false"/>
          <w:i w:val="false"/>
          <w:color w:val="000000"/>
          <w:sz w:val="24"/>
        </w:rPr>
        <w:t>(208) at least 60 days prior to the proposed starting date of any mining within the setback limitations.</w:t>
      </w:r>
    </w:p>
    <w:p>
      <w:pPr>
        <w:spacing w:before="0" w:after="0" w:line="480"/>
        <w:ind w:left="120"/>
        <w:jc w:val="both"/>
      </w:pPr>
      <w:r>
        <w:rPr>
          <w:rFonts w:ascii="Times New Roman" w:hAnsi="Times New Roman"/>
          <w:b/>
          <w:i w:val="false"/>
          <w:color w:val="000000"/>
          <w:sz w:val="24"/>
        </w:rPr>
        <w:t>27—60.14</w:t>
      </w:r>
      <w:r>
        <w:rPr>
          <w:rFonts w:ascii="Times New Roman" w:hAnsi="Times New Roman"/>
          <w:b/>
          <w:i w:val="false"/>
          <w:color w:val="000000"/>
          <w:sz w:val="24"/>
        </w:rPr>
        <w:t xml:space="preserve">(208) </w:t>
      </w:r>
      <w:r>
        <w:rPr>
          <w:rFonts w:ascii="Times New Roman" w:hAnsi="Times New Roman"/>
          <w:b/>
          <w:i w:val="false"/>
          <w:color w:val="000000"/>
          <w:sz w:val="24"/>
        </w:rPr>
        <w:t xml:space="preserve">Reclamation.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60.14(1)</w:t>
      </w:r>
      <w:r>
        <w:rPr>
          <w:rFonts w:ascii="Times New Roman" w:hAnsi="Times New Roman"/>
          <w:b w:val="false"/>
          <w:i w:val="false"/>
          <w:color w:val="000000"/>
          <w:sz w:val="24"/>
        </w:rPr>
        <w:t> </w:t>
      </w:r>
      <w:r>
        <w:rPr>
          <w:rFonts w:ascii="Times New Roman" w:hAnsi="Times New Roman"/>
          <w:b w:val="false"/>
          <w:i/>
          <w:color w:val="000000"/>
          <w:sz w:val="24"/>
        </w:rPr>
        <w:t xml:space="preserve">Schedule. </w:t>
      </w:r>
      <w:r>
        <w:rPr>
          <w:rFonts w:ascii="Times New Roman" w:hAnsi="Times New Roman"/>
          <w:b w:val="false"/>
          <w:i w:val="false"/>
          <w:color w:val="000000"/>
          <w:sz w:val="24"/>
        </w:rPr>
        <w:t>The operator, upon filing a mine report indicating the conclusion of all mining activities, will have a period of three years to complete all reclamation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60.14(2)</w:t>
      </w:r>
      <w:r>
        <w:rPr>
          <w:rFonts w:ascii="Times New Roman" w:hAnsi="Times New Roman"/>
          <w:b w:val="false"/>
          <w:i w:val="false"/>
          <w:color w:val="000000"/>
          <w:sz w:val="24"/>
        </w:rPr>
        <w:t> </w:t>
      </w:r>
      <w:r>
        <w:rPr>
          <w:rFonts w:ascii="Times New Roman" w:hAnsi="Times New Roman"/>
          <w:b w:val="false"/>
          <w:i/>
          <w:color w:val="000000"/>
          <w:sz w:val="24"/>
        </w:rPr>
        <w:t xml:space="preserve">Requirements. </w:t>
      </w:r>
      <w:r>
        <w:rPr>
          <w:rFonts w:ascii="Times New Roman" w:hAnsi="Times New Roman"/>
          <w:b w:val="false"/>
          <w:i w:val="false"/>
          <w:color w:val="000000"/>
          <w:sz w:val="24"/>
        </w:rPr>
        <w:t>The operator shall grade all remaining affected lands, except stockpiles, processing areas, pit floors, and highwalls, to allowable slopes within six months following the filing of the final report. Stockpiles and processing areas shall be graded or the material exported from the site within one year following the final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60.14(3)</w:t>
      </w:r>
      <w:r>
        <w:rPr>
          <w:rFonts w:ascii="Times New Roman" w:hAnsi="Times New Roman"/>
          <w:b w:val="false"/>
          <w:i w:val="false"/>
          <w:color w:val="000000"/>
          <w:sz w:val="24"/>
        </w:rPr>
        <w:t> </w:t>
      </w:r>
      <w:r>
        <w:rPr>
          <w:rFonts w:ascii="Times New Roman" w:hAnsi="Times New Roman"/>
          <w:b w:val="false"/>
          <w:i/>
          <w:color w:val="000000"/>
          <w:sz w:val="24"/>
        </w:rPr>
        <w:t xml:space="preserve">Extension of time. </w:t>
      </w:r>
      <w:r>
        <w:rPr>
          <w:rFonts w:ascii="Times New Roman" w:hAnsi="Times New Roman"/>
          <w:b w:val="false"/>
          <w:i w:val="false"/>
          <w:color w:val="000000"/>
          <w:sz w:val="24"/>
        </w:rPr>
        <w:t xml:space="preserve">The operator shall be allowed a three-month extension of time on subrule </w:t>
      </w:r>
      <w:hyperlink r:id="rId27">
        <w:r>
          <w:rPr>
            <w:rStyle w:val="Hyperlink"/>
            <w:rFonts w:ascii="Times New Roman" w:hAnsi="Times New Roman"/>
            <w:b w:val="false"/>
            <w:i w:val="false"/>
            <w:color w:val="000000"/>
            <w:sz w:val="24"/>
          </w:rPr>
          <w:t>60.14(2)</w:t>
        </w:r>
      </w:hyperlink>
      <w:r>
        <w:rPr>
          <w:rFonts w:ascii="Times New Roman" w:hAnsi="Times New Roman"/>
          <w:b w:val="false"/>
          <w:i w:val="false"/>
          <w:color w:val="000000"/>
          <w:sz w:val="24"/>
        </w:rPr>
        <w:t xml:space="preserve"> provided a written request is filed at least 30 days (or 20 working days) prior to the original deadline. Only one extension will be allowed the operator per release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60.14(4)</w:t>
      </w:r>
      <w:r>
        <w:rPr>
          <w:rFonts w:ascii="Times New Roman" w:hAnsi="Times New Roman"/>
          <w:b w:val="false"/>
          <w:i w:val="false"/>
          <w:color w:val="000000"/>
          <w:sz w:val="24"/>
        </w:rPr>
        <w:t> </w:t>
      </w:r>
      <w:r>
        <w:rPr>
          <w:rFonts w:ascii="Times New Roman" w:hAnsi="Times New Roman"/>
          <w:b w:val="false"/>
          <w:i/>
          <w:color w:val="000000"/>
          <w:sz w:val="24"/>
        </w:rPr>
        <w:t xml:space="preserve">Grading. </w:t>
      </w:r>
      <w:r>
        <w:rPr>
          <w:rFonts w:ascii="Times New Roman" w:hAnsi="Times New Roman"/>
          <w:b w:val="false"/>
          <w:i w:val="false"/>
          <w:color w:val="000000"/>
          <w:sz w:val="24"/>
        </w:rPr>
        <w:t>All lands affected by the mining process, with the exception of pit floors, highwalls and water impoundments, shall be graded to slopes having a maximum one-foot vertical rise for every four feet horizontal distance or graded to blend with the surrounding terrain.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60.14(5)</w:t>
      </w:r>
      <w:r>
        <w:rPr>
          <w:rFonts w:ascii="Times New Roman" w:hAnsi="Times New Roman"/>
          <w:b w:val="false"/>
          <w:i w:val="false"/>
          <w:color w:val="000000"/>
          <w:sz w:val="24"/>
        </w:rPr>
        <w:t> </w:t>
      </w:r>
      <w:r>
        <w:rPr>
          <w:rFonts w:ascii="Times New Roman" w:hAnsi="Times New Roman"/>
          <w:b w:val="false"/>
          <w:i/>
          <w:color w:val="000000"/>
          <w:sz w:val="24"/>
        </w:rPr>
        <w:t xml:space="preserve">Waste disposal.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In grading the site, all mining-related waste products and machinery incompatible with the care and growth of vegetation shall be removed from the site and disposed of in a manner consistent and acceptable with state law. Materials acceptable for on-site disposal, such as concrete and clay products free of reinforcing shall be buried a minimum of three feet below final grade.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Boulders and stones incompatible with the proposed postmining use of the site shall be buried or removed from the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60.14(6)</w:t>
      </w:r>
      <w:r>
        <w:rPr>
          <w:rFonts w:ascii="Times New Roman" w:hAnsi="Times New Roman"/>
          <w:b w:val="false"/>
          <w:i w:val="false"/>
          <w:color w:val="000000"/>
          <w:sz w:val="24"/>
        </w:rPr>
        <w:t> </w:t>
      </w:r>
      <w:r>
        <w:rPr>
          <w:rFonts w:ascii="Times New Roman" w:hAnsi="Times New Roman"/>
          <w:b w:val="false"/>
          <w:i/>
          <w:color w:val="000000"/>
          <w:sz w:val="24"/>
        </w:rPr>
        <w:t xml:space="preserve">Vegetation.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Seeding of an area with grasses and legumes shall be accomplished within three months following the conclusion of all earthwork, weather permitting. Erosion control methods shall be used where necessary to prevent rill and gully formation. The operator shall be responsible for attaining a ground cover of acceptable species of grass, legume, shrub, tree or crop.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vegetation shall be allowed at least one growing season to become established prior to the filing of a release request by the operator.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necessary, additional seedings shall be performed to establish a viable vegetative cover.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60.14(7)</w:t>
      </w:r>
      <w:r>
        <w:rPr>
          <w:rFonts w:ascii="Times New Roman" w:hAnsi="Times New Roman"/>
          <w:b w:val="false"/>
          <w:i w:val="false"/>
          <w:color w:val="000000"/>
          <w:sz w:val="24"/>
        </w:rPr>
        <w:t> </w:t>
      </w:r>
      <w:r>
        <w:rPr>
          <w:rFonts w:ascii="Times New Roman" w:hAnsi="Times New Roman"/>
          <w:b w:val="false"/>
          <w:i/>
          <w:color w:val="000000"/>
          <w:sz w:val="24"/>
        </w:rPr>
        <w:t xml:space="preserve">Failure to comply. </w:t>
      </w:r>
      <w:r>
        <w:rPr>
          <w:rFonts w:ascii="Times New Roman" w:hAnsi="Times New Roman"/>
          <w:b w:val="false"/>
          <w:i w:val="false"/>
          <w:color w:val="000000"/>
          <w:sz w:val="24"/>
        </w:rPr>
        <w:t>Failure to adhere to the reclamation schedule may be grounds for an administrative order, revocation of the operator’s license to mine, or initiation of bond forfeiture proceedings.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60.14(8)</w:t>
      </w:r>
      <w:r>
        <w:rPr>
          <w:rFonts w:ascii="Times New Roman" w:hAnsi="Times New Roman"/>
          <w:b w:val="false"/>
          <w:i w:val="false"/>
          <w:color w:val="000000"/>
          <w:sz w:val="24"/>
        </w:rPr>
        <w:t> </w:t>
      </w:r>
      <w:r>
        <w:rPr>
          <w:rFonts w:ascii="Times New Roman" w:hAnsi="Times New Roman"/>
          <w:b w:val="false"/>
          <w:i/>
          <w:color w:val="000000"/>
          <w:sz w:val="24"/>
        </w:rPr>
        <w:t xml:space="preserve">Variance. </w:t>
      </w:r>
      <w:r>
        <w:rPr>
          <w:rFonts w:ascii="Times New Roman" w:hAnsi="Times New Roman"/>
          <w:b w:val="false"/>
          <w:i w:val="false"/>
          <w:color w:val="000000"/>
          <w:sz w:val="24"/>
        </w:rPr>
        <w:t xml:space="preserve">The division may grant a variance from rule </w:t>
      </w:r>
      <w:hyperlink r:id="rId28">
        <w:r>
          <w:rPr>
            <w:rStyle w:val="Hyperlink"/>
            <w:rFonts w:ascii="Times New Roman" w:hAnsi="Times New Roman"/>
            <w:b w:val="false"/>
            <w:i w:val="false"/>
            <w:color w:val="000000"/>
            <w:sz w:val="24"/>
          </w:rPr>
          <w:t>27—60.14</w:t>
        </w:r>
      </w:hyperlink>
      <w:r>
        <w:rPr>
          <w:rFonts w:ascii="Times New Roman" w:hAnsi="Times New Roman"/>
          <w:b w:val="false"/>
          <w:i w:val="false"/>
          <w:color w:val="000000"/>
          <w:sz w:val="24"/>
        </w:rPr>
        <w:t xml:space="preserve">(208) provided the operator submits a complete application that meets the requirements of rule </w:t>
      </w:r>
      <w:hyperlink r:id="rId29">
        <w:r>
          <w:rPr>
            <w:rStyle w:val="Hyperlink"/>
            <w:rFonts w:ascii="Times New Roman" w:hAnsi="Times New Roman"/>
            <w:b w:val="false"/>
            <w:i w:val="false"/>
            <w:color w:val="000000"/>
            <w:sz w:val="24"/>
          </w:rPr>
          <w:t>27—60.15</w:t>
        </w:r>
      </w:hyperlink>
      <w:r>
        <w:rPr>
          <w:rFonts w:ascii="Times New Roman" w:hAnsi="Times New Roman"/>
          <w:b w:val="false"/>
          <w:i w:val="false"/>
          <w:color w:val="000000"/>
          <w:sz w:val="24"/>
        </w:rPr>
        <w:t>(208). Examples of variances would include wetland areas, building sites, or use of overburden materials for protective berms and screens.</w:t>
      </w:r>
    </w:p>
    <w:p>
      <w:pPr>
        <w:spacing w:before="0" w:after="0" w:line="480"/>
        <w:ind w:left="120"/>
        <w:jc w:val="both"/>
      </w:pPr>
      <w:r>
        <w:rPr>
          <w:rFonts w:ascii="Times New Roman" w:hAnsi="Times New Roman"/>
          <w:b/>
          <w:i w:val="false"/>
          <w:color w:val="000000"/>
          <w:sz w:val="24"/>
        </w:rPr>
        <w:t>27—60.15</w:t>
      </w:r>
      <w:r>
        <w:rPr>
          <w:rFonts w:ascii="Times New Roman" w:hAnsi="Times New Roman"/>
          <w:b/>
          <w:i w:val="false"/>
          <w:color w:val="000000"/>
          <w:sz w:val="24"/>
        </w:rPr>
        <w:t xml:space="preserve">(208) </w:t>
      </w:r>
      <w:r>
        <w:rPr>
          <w:rFonts w:ascii="Times New Roman" w:hAnsi="Times New Roman"/>
          <w:b/>
          <w:i w:val="false"/>
          <w:color w:val="000000"/>
          <w:sz w:val="24"/>
        </w:rPr>
        <w:t xml:space="preserve">Criteria for variance application and approval.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60.15(1)</w:t>
      </w:r>
      <w:r>
        <w:rPr>
          <w:rFonts w:ascii="Times New Roman" w:hAnsi="Times New Roman"/>
          <w:b w:val="false"/>
          <w:i w:val="false"/>
          <w:color w:val="000000"/>
          <w:sz w:val="24"/>
        </w:rPr>
        <w:t> </w:t>
      </w:r>
      <w:r>
        <w:rPr>
          <w:rFonts w:ascii="Times New Roman" w:hAnsi="Times New Roman"/>
          <w:b w:val="false"/>
          <w:i/>
          <w:color w:val="000000"/>
          <w:sz w:val="24"/>
        </w:rPr>
        <w:t xml:space="preserve">Application for variance. </w:t>
      </w:r>
      <w:r>
        <w:rPr>
          <w:rFonts w:ascii="Times New Roman" w:hAnsi="Times New Roman"/>
          <w:b w:val="false"/>
          <w:i w:val="false"/>
          <w:color w:val="000000"/>
          <w:sz w:val="24"/>
        </w:rPr>
        <w:t>A complete application for a variance must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Site name, registration number, and location by county, township, range, section and quarter section.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copy of an aerial photograph or a topographic map of the site on an 8½″ × 11″ page, in a scale not less than 1 to 24,000 (2½″ to the mile), showing the areas to be affected by the proposed encroachment.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reclamation plan that will address the final grading and revegetation for the area in question and a statement as to the postmining land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Name, address, and telephone number for current owner or owners of property adjacent to the area for which the variance is being requested.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Estimated time period when the mineral extraction will occur.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 brief narrative stating why the variance is being sought and how adverse effects of mining will be mitigated.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Other information requested by the division as needed for clarification.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Additional bond, if determined to be necessary by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60.15(2)</w:t>
      </w:r>
      <w:r>
        <w:rPr>
          <w:rFonts w:ascii="Times New Roman" w:hAnsi="Times New Roman"/>
          <w:b w:val="false"/>
          <w:i w:val="false"/>
          <w:color w:val="000000"/>
          <w:sz w:val="24"/>
        </w:rPr>
        <w:t> </w:t>
      </w:r>
      <w:r>
        <w:rPr>
          <w:rFonts w:ascii="Times New Roman" w:hAnsi="Times New Roman"/>
          <w:b w:val="false"/>
          <w:i/>
          <w:color w:val="000000"/>
          <w:sz w:val="24"/>
        </w:rPr>
        <w:t xml:space="preserve">Criteria for approval of a variance. </w:t>
      </w:r>
      <w:r>
        <w:rPr>
          <w:rFonts w:ascii="Times New Roman" w:hAnsi="Times New Roman"/>
          <w:b w:val="false"/>
          <w:i w:val="false"/>
          <w:color w:val="000000"/>
          <w:sz w:val="24"/>
        </w:rPr>
        <w:t>A variance filed with the division shall be approved or disapproved within 30 days of receiving a completed application for a variance.</w:t>
      </w:r>
    </w:p>
    <w:p>
      <w:pPr>
        <w:spacing w:before="0" w:after="0" w:line="480"/>
        <w:ind w:left="120"/>
        <w:jc w:val="both"/>
      </w:pPr>
      <w:r>
        <w:rPr>
          <w:rFonts w:ascii="Times New Roman" w:hAnsi="Times New Roman"/>
          <w:b w:val="false"/>
          <w:i w:val="false"/>
          <w:color w:val="000000"/>
          <w:sz w:val="24"/>
        </w:rPr>
        <w:t>In either approving or disapproving the variance request, the division will consider the reclamation plan, the postmining land use, the effects on the adjacent properties, the extent to which reclamation requirements are being met, and other relevant factors.</w:t>
      </w:r>
    </w:p>
    <w:p>
      <w:pPr>
        <w:spacing w:before="0" w:after="0" w:line="480"/>
        <w:ind w:left="120"/>
        <w:jc w:val="both"/>
      </w:pPr>
      <w:r>
        <w:rPr>
          <w:rFonts w:ascii="Times New Roman" w:hAnsi="Times New Roman"/>
          <w:b/>
          <w:i w:val="false"/>
          <w:color w:val="000000"/>
          <w:sz w:val="24"/>
        </w:rPr>
        <w:t>27—60.16</w:t>
      </w:r>
      <w:r>
        <w:rPr>
          <w:rFonts w:ascii="Times New Roman" w:hAnsi="Times New Roman"/>
          <w:b/>
          <w:i w:val="false"/>
          <w:color w:val="000000"/>
          <w:sz w:val="24"/>
        </w:rPr>
        <w:t xml:space="preserve">(208) </w:t>
      </w:r>
      <w:r>
        <w:rPr>
          <w:rFonts w:ascii="Times New Roman" w:hAnsi="Times New Roman"/>
          <w:b/>
          <w:i w:val="false"/>
          <w:color w:val="000000"/>
          <w:sz w:val="24"/>
        </w:rPr>
        <w:t xml:space="preserve">Administrative orders and assessment of penalties. </w:t>
      </w:r>
      <w:r>
        <w:rPr>
          <w:rFonts w:ascii="Times New Roman" w:hAnsi="Times New Roman"/>
          <w:b w:val="false"/>
          <w:i w:val="false"/>
          <w:color w:val="000000"/>
          <w:sz w:val="24"/>
        </w:rPr>
        <w:t>The division may issue an administrative order directing an operator to desist in an activity or practice that constitutes a violation of these rules or to take corrective action to abate the violation.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60.16(1)</w:t>
      </w:r>
      <w:r>
        <w:rPr>
          <w:rFonts w:ascii="Times New Roman" w:hAnsi="Times New Roman"/>
          <w:b w:val="false"/>
          <w:i w:val="false"/>
          <w:color w:val="000000"/>
          <w:sz w:val="24"/>
        </w:rPr>
        <w:t> </w:t>
      </w:r>
      <w:r>
        <w:rPr>
          <w:rFonts w:ascii="Times New Roman" w:hAnsi="Times New Roman"/>
          <w:b w:val="false"/>
          <w:i/>
          <w:color w:val="000000"/>
          <w:sz w:val="24"/>
        </w:rPr>
        <w:t xml:space="preserve">Issuance of administrative order. </w:t>
      </w:r>
      <w:r>
        <w:rPr>
          <w:rFonts w:ascii="Times New Roman" w:hAnsi="Times New Roman"/>
          <w:b w:val="false"/>
          <w:i w:val="false"/>
          <w:color w:val="000000"/>
          <w:sz w:val="24"/>
        </w:rPr>
        <w:t>Any administrative order issued by the division shall be signed by the division administrator and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description of the violation or violations being addressed, including a citation to each rule or provision being violated, a summary of the facts and legal requirements, and a general rationale for the prescribed penalty.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description of corrective measures or actions required to abate the violation or violations.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time period for commencing and completing corrective actions called for in the administrative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proposed penalty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time allowed for filing an appeal to contest the order.</w:t>
      </w:r>
    </w:p>
    <w:p>
      <w:pPr>
        <w:spacing w:before="0" w:after="0" w:line="480"/>
        <w:ind w:left="120"/>
        <w:jc w:val="both"/>
      </w:pPr>
      <w:r>
        <w:rPr>
          <w:rFonts w:ascii="Times New Roman" w:hAnsi="Times New Roman"/>
          <w:b/>
          <w:i w:val="false"/>
          <w:color w:val="000000"/>
          <w:sz w:val="24"/>
        </w:rPr>
        <w:t>60.16(2)</w:t>
      </w:r>
      <w:r>
        <w:rPr>
          <w:rFonts w:ascii="Times New Roman" w:hAnsi="Times New Roman"/>
          <w:b w:val="false"/>
          <w:i w:val="false"/>
          <w:color w:val="000000"/>
          <w:sz w:val="24"/>
        </w:rPr>
        <w:t> </w:t>
      </w:r>
      <w:r>
        <w:rPr>
          <w:rFonts w:ascii="Times New Roman" w:hAnsi="Times New Roman"/>
          <w:b w:val="false"/>
          <w:i/>
          <w:color w:val="000000"/>
          <w:sz w:val="24"/>
        </w:rPr>
        <w:t xml:space="preserve">Assessment of penalty. </w:t>
      </w:r>
      <w:r>
        <w:rPr>
          <w:rFonts w:ascii="Times New Roman" w:hAnsi="Times New Roman"/>
          <w:b w:val="false"/>
          <w:i w:val="false"/>
          <w:color w:val="000000"/>
          <w:sz w:val="24"/>
        </w:rPr>
        <w:t>An administrative order issued by the division shall include a proposed penalty assessment for the violation or violations being cited. The proposed penalty called for in the order shall not exceed $5,000 for each violation.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point system will be used in assessing each violation. Criteria for assigning points shall be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history, up to 20 points may be assigned based on the history of previous violations.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seriousness,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Up to 20 points may be assigned based on the seriousness of the violation in terms of its potential or actual damage,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Up to 15 points may be assigned for a violation of the administrative requirements of these rules. Administrative requirements would include items such as license and registration, payment of fees, posting of signs, and submittal of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For negligence, up to 10 points may be assigned on the basis of negligence on the part of the operator to whom the order is issued for failing to correct the cause of the violation. Up to 25 points may be assigned for a violation that occurs through a greater degree of fault than negligence, which means reckless, knowing, or intentional conduct. The division may also consider the degree to which the operator gained an economic benefit as a result of failing to comply with these regulations.</w:t>
      </w:r>
    </w:p>
    <w:p>
      <w:pPr>
        <w:spacing w:before="0" w:after="0" w:line="480"/>
        <w:ind w:left="120"/>
        <w:jc w:val="both"/>
      </w:pPr>
      <w:r>
        <w:rPr>
          <w:rFonts w:ascii="Times New Roman" w:hAnsi="Times New Roman"/>
          <w:b w:val="false"/>
          <w:i w:val="false"/>
          <w:color w:val="000000"/>
          <w:sz w:val="24"/>
        </w:rPr>
        <w:t>A reduction of the assigned points by up to 20 points may be allowed for good-faith efforts by the operator to achieve better than normal compliance.</w:t>
      </w:r>
    </w:p>
    <w:p>
      <w:pPr>
        <w:spacing w:before="0" w:after="0" w:line="480"/>
        <w:ind w:left="120"/>
        <w:jc w:val="both"/>
      </w:pP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dollar value for points assigned shall be $20 for each point from 1 to 25 and $100 for each point thereafter to a maximum of 70 points. An abridged table summarizing dollar values for point assessments is as follows: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906"/>
        <w:gridCol w:w="1906"/>
        <w:gridCol w:w="946"/>
        <w:gridCol w:w="2289"/>
        <w:gridCol w:w="1905"/>
      </w:tblGrid>
      <w:tr>
        <w:trPr>
          <w:trHeight w:val="195" w:hRule="atLeast"/>
        </w:trPr>
        <w:tc>
          <w:tcPr>
            <w:tcW w:w="190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Points</w:t>
            </w:r>
          </w:p>
        </w:tc>
        <w:tc>
          <w:tcPr>
            <w:tcW w:w="190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c>
          <w:tcPr>
            <w:tcW w:w="946" w:type="dxa"/>
            <w:tcBorders>
              <w:bottom w:val="single" w:color="000000" w:sz="8"/>
              <w:right w:val="single" w:color="000000" w:sz="8"/>
            </w:tcBorders>
            <w:shd w:fill="d0d0d0"/>
            <w:tcMar>
              <w:top w:w="30" w:type="dxa"/>
              <w:left w:w="30" w:type="dxa"/>
              <w:bottom w:w="15" w:type="dxa"/>
              <w:right w:w="30" w:type="dxa"/>
            </w:tcMar>
            <w:vAlign w:val="top"/>
          </w:tcPr>
          <w:p/>
        </w:tc>
        <w:tc>
          <w:tcPr>
            <w:tcW w:w="228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Points</w:t>
            </w:r>
          </w:p>
        </w:tc>
        <w:tc>
          <w:tcPr>
            <w:tcW w:w="190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r>
      <w:tr>
        <w:trPr>
          <w:trHeight w:val="195" w:hRule="atLeast"/>
        </w:trPr>
        <w:tc>
          <w:tcPr>
            <w:tcW w:w="1906"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5</w:t>
            </w:r>
          </w:p>
        </w:tc>
        <w:tc>
          <w:tcPr>
            <w:tcW w:w="1906"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100</w:t>
            </w:r>
          </w:p>
        </w:tc>
        <w:tc>
          <w:tcPr>
            <w:tcW w:w="946" w:type="dxa"/>
            <w:tcBorders>
              <w:bottom w:val="single" w:color="000000" w:sz="8"/>
              <w:right w:val="single" w:color="000000" w:sz="8"/>
            </w:tcBorders>
            <w:shd w:fill="d0d0d0"/>
            <w:tcMar>
              <w:top w:w="30" w:type="dxa"/>
              <w:left w:w="30" w:type="dxa"/>
              <w:bottom w:w="15" w:type="dxa"/>
              <w:right w:w="30" w:type="dxa"/>
            </w:tcMar>
            <w:vAlign w:val="top"/>
          </w:tcPr>
          <w:p/>
        </w:tc>
        <w:tc>
          <w:tcPr>
            <w:tcW w:w="228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40</w:t>
            </w:r>
          </w:p>
        </w:tc>
        <w:tc>
          <w:tcPr>
            <w:tcW w:w="1905" w:type="dxa"/>
            <w:tcBorders>
              <w:bottom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2,000</w:t>
            </w:r>
          </w:p>
        </w:tc>
      </w:tr>
      <w:tr>
        <w:trPr>
          <w:trHeight w:val="195" w:hRule="atLeast"/>
        </w:trPr>
        <w:tc>
          <w:tcPr>
            <w:tcW w:w="1906"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10</w:t>
            </w:r>
          </w:p>
        </w:tc>
        <w:tc>
          <w:tcPr>
            <w:tcW w:w="1906"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200</w:t>
            </w:r>
          </w:p>
        </w:tc>
        <w:tc>
          <w:tcPr>
            <w:tcW w:w="946" w:type="dxa"/>
            <w:tcBorders>
              <w:bottom w:val="single" w:color="000000" w:sz="8"/>
              <w:right w:val="single" w:color="000000" w:sz="8"/>
            </w:tcBorders>
            <w:shd w:fill="d0d0d0"/>
            <w:tcMar>
              <w:top w:w="30" w:type="dxa"/>
              <w:left w:w="30" w:type="dxa"/>
              <w:bottom w:w="15" w:type="dxa"/>
              <w:right w:w="30" w:type="dxa"/>
            </w:tcMar>
            <w:vAlign w:val="top"/>
          </w:tcPr>
          <w:p/>
        </w:tc>
        <w:tc>
          <w:tcPr>
            <w:tcW w:w="228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45</w:t>
            </w:r>
          </w:p>
        </w:tc>
        <w:tc>
          <w:tcPr>
            <w:tcW w:w="1905" w:type="dxa"/>
            <w:tcBorders>
              <w:bottom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2,500</w:t>
            </w:r>
          </w:p>
        </w:tc>
      </w:tr>
      <w:tr>
        <w:trPr>
          <w:trHeight w:val="195" w:hRule="atLeast"/>
        </w:trPr>
        <w:tc>
          <w:tcPr>
            <w:tcW w:w="1906"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w:t>
            </w:r>
          </w:p>
        </w:tc>
        <w:tc>
          <w:tcPr>
            <w:tcW w:w="1906"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300</w:t>
            </w:r>
          </w:p>
        </w:tc>
        <w:tc>
          <w:tcPr>
            <w:tcW w:w="946" w:type="dxa"/>
            <w:tcBorders>
              <w:bottom w:val="single" w:color="000000" w:sz="8"/>
              <w:right w:val="single" w:color="000000" w:sz="8"/>
            </w:tcBorders>
            <w:shd w:fill="d0d0d0"/>
            <w:tcMar>
              <w:top w:w="30" w:type="dxa"/>
              <w:left w:w="30" w:type="dxa"/>
              <w:bottom w:w="15" w:type="dxa"/>
              <w:right w:w="30" w:type="dxa"/>
            </w:tcMar>
            <w:vAlign w:val="top"/>
          </w:tcPr>
          <w:p/>
        </w:tc>
        <w:tc>
          <w:tcPr>
            <w:tcW w:w="228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w:t>
            </w:r>
          </w:p>
        </w:tc>
        <w:tc>
          <w:tcPr>
            <w:tcW w:w="1905" w:type="dxa"/>
            <w:tcBorders>
              <w:bottom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3,000</w:t>
            </w:r>
          </w:p>
        </w:tc>
      </w:tr>
      <w:tr>
        <w:trPr>
          <w:trHeight w:val="195" w:hRule="atLeast"/>
        </w:trPr>
        <w:tc>
          <w:tcPr>
            <w:tcW w:w="1906"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20</w:t>
            </w:r>
          </w:p>
        </w:tc>
        <w:tc>
          <w:tcPr>
            <w:tcW w:w="1906"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400</w:t>
            </w:r>
          </w:p>
        </w:tc>
        <w:tc>
          <w:tcPr>
            <w:tcW w:w="946" w:type="dxa"/>
            <w:tcBorders>
              <w:bottom w:val="single" w:color="000000" w:sz="8"/>
              <w:right w:val="single" w:color="000000" w:sz="8"/>
            </w:tcBorders>
            <w:shd w:fill="d0d0d0"/>
            <w:tcMar>
              <w:top w:w="30" w:type="dxa"/>
              <w:left w:w="30" w:type="dxa"/>
              <w:bottom w:w="15" w:type="dxa"/>
              <w:right w:w="30" w:type="dxa"/>
            </w:tcMar>
            <w:vAlign w:val="top"/>
          </w:tcPr>
          <w:p/>
        </w:tc>
        <w:tc>
          <w:tcPr>
            <w:tcW w:w="228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55</w:t>
            </w:r>
          </w:p>
        </w:tc>
        <w:tc>
          <w:tcPr>
            <w:tcW w:w="1905" w:type="dxa"/>
            <w:tcBorders>
              <w:bottom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3,500</w:t>
            </w:r>
          </w:p>
        </w:tc>
      </w:tr>
      <w:tr>
        <w:trPr>
          <w:trHeight w:val="195" w:hRule="atLeast"/>
        </w:trPr>
        <w:tc>
          <w:tcPr>
            <w:tcW w:w="1906"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25</w:t>
            </w:r>
          </w:p>
        </w:tc>
        <w:tc>
          <w:tcPr>
            <w:tcW w:w="1906"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500</w:t>
            </w:r>
          </w:p>
        </w:tc>
        <w:tc>
          <w:tcPr>
            <w:tcW w:w="946" w:type="dxa"/>
            <w:tcBorders>
              <w:bottom w:val="single" w:color="000000" w:sz="8"/>
              <w:right w:val="single" w:color="000000" w:sz="8"/>
            </w:tcBorders>
            <w:shd w:fill="d0d0d0"/>
            <w:tcMar>
              <w:top w:w="30" w:type="dxa"/>
              <w:left w:w="30" w:type="dxa"/>
              <w:bottom w:w="15" w:type="dxa"/>
              <w:right w:w="30" w:type="dxa"/>
            </w:tcMar>
            <w:vAlign w:val="top"/>
          </w:tcPr>
          <w:p/>
        </w:tc>
        <w:tc>
          <w:tcPr>
            <w:tcW w:w="228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60</w:t>
            </w:r>
          </w:p>
        </w:tc>
        <w:tc>
          <w:tcPr>
            <w:tcW w:w="1905" w:type="dxa"/>
            <w:tcBorders>
              <w:bottom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4,000</w:t>
            </w:r>
          </w:p>
        </w:tc>
      </w:tr>
      <w:tr>
        <w:trPr>
          <w:trHeight w:val="285" w:hRule="atLeast"/>
        </w:trPr>
        <w:tc>
          <w:tcPr>
            <w:tcW w:w="1906"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30</w:t>
            </w:r>
          </w:p>
        </w:tc>
        <w:tc>
          <w:tcPr>
            <w:tcW w:w="1906"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1,000</w:t>
            </w:r>
          </w:p>
        </w:tc>
        <w:tc>
          <w:tcPr>
            <w:tcW w:w="946" w:type="dxa"/>
            <w:tcBorders>
              <w:bottom w:val="single" w:color="000000" w:sz="8"/>
              <w:right w:val="single" w:color="000000" w:sz="8"/>
            </w:tcBorders>
            <w:shd w:fill="d0d0d0"/>
            <w:tcMar>
              <w:top w:w="30" w:type="dxa"/>
              <w:left w:w="30" w:type="dxa"/>
              <w:bottom w:w="15" w:type="dxa"/>
              <w:right w:w="30" w:type="dxa"/>
            </w:tcMar>
            <w:vAlign w:val="top"/>
          </w:tcPr>
          <w:p/>
        </w:tc>
        <w:tc>
          <w:tcPr>
            <w:tcW w:w="2289"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70 and above</w:t>
            </w:r>
          </w:p>
        </w:tc>
        <w:tc>
          <w:tcPr>
            <w:tcW w:w="1905" w:type="dxa"/>
            <w:tcBorders>
              <w:bottom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5,000</w:t>
            </w:r>
          </w:p>
        </w:tc>
      </w:tr>
      <w:tr>
        <w:trPr>
          <w:trHeight w:val="195" w:hRule="atLeast"/>
        </w:trPr>
        <w:tc>
          <w:tcPr>
            <w:tcW w:w="1906" w:type="dxa"/>
            <w:tcBorders>
              <w:right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35</w:t>
            </w:r>
          </w:p>
        </w:tc>
        <w:tc>
          <w:tcPr>
            <w:tcW w:w="1906" w:type="dxa"/>
            <w:tcBorders>
              <w:right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1,500</w:t>
            </w:r>
          </w:p>
        </w:tc>
        <w:tc>
          <w:tcPr>
            <w:tcW w:w="946" w:type="dxa"/>
            <w:tcBorders>
              <w:right w:val="single" w:color="000000" w:sz="8"/>
            </w:tcBorders>
            <w:shd w:fill="d0d0d0"/>
            <w:tcMar>
              <w:top w:w="30" w:type="dxa"/>
              <w:left w:w="30" w:type="dxa"/>
              <w:bottom w:w="15" w:type="dxa"/>
              <w:right w:w="30" w:type="dxa"/>
            </w:tcMar>
            <w:vAlign w:val="top"/>
          </w:tcPr>
          <w:p/>
        </w:tc>
        <w:tc>
          <w:tcPr>
            <w:tcW w:w="2289"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0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When a penalty will be assessed.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division may assess a penalty for a proposed order that becomes a final order when 30 or fewer points are assigned to the administrative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division shall assess a penalty for a proposed assessment that becomes a final order when 31 or more points are assigned to the administrative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proposed assessment worksheet shall accompany each administrative order issued by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60.16(3)</w:t>
      </w:r>
      <w:r>
        <w:rPr>
          <w:rFonts w:ascii="Times New Roman" w:hAnsi="Times New Roman"/>
          <w:b w:val="false"/>
          <w:i w:val="false"/>
          <w:color w:val="000000"/>
          <w:sz w:val="24"/>
        </w:rPr>
        <w:t> </w:t>
      </w:r>
      <w:r>
        <w:rPr>
          <w:rFonts w:ascii="Times New Roman" w:hAnsi="Times New Roman"/>
          <w:b w:val="false"/>
          <w:i/>
          <w:color w:val="000000"/>
          <w:sz w:val="24"/>
        </w:rPr>
        <w:t xml:space="preserve">Waiver of point system.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Upon the division administrator’s own initiative or upon written request from an operator within 15 days of receipt of an administrative order, the division may waive the use of the point system as a means of determining a proposed penalty. In so doing, the administrator must determine that the penalty is demonstrably unjust based upon factors present in the particular case.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the division has waived the use of the point system in determining a penalty, the division administrator shall document the basis for the waiver in the case record and shall also provide a written explanation of the basis for the assessment made to the operator to whom the administrative order was issued.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60.16(4)</w:t>
      </w:r>
      <w:r>
        <w:rPr>
          <w:rFonts w:ascii="Times New Roman" w:hAnsi="Times New Roman"/>
          <w:b w:val="false"/>
          <w:i w:val="false"/>
          <w:color w:val="000000"/>
          <w:sz w:val="24"/>
        </w:rPr>
        <w:t> </w:t>
      </w:r>
      <w:r>
        <w:rPr>
          <w:rFonts w:ascii="Times New Roman" w:hAnsi="Times New Roman"/>
          <w:b w:val="false"/>
          <w:i/>
          <w:color w:val="000000"/>
          <w:sz w:val="24"/>
        </w:rPr>
        <w:t xml:space="preserve">Submittal of information. </w:t>
      </w:r>
      <w:r>
        <w:rPr>
          <w:rFonts w:ascii="Times New Roman" w:hAnsi="Times New Roman"/>
          <w:b w:val="false"/>
          <w:i w:val="false"/>
          <w:color w:val="000000"/>
          <w:sz w:val="24"/>
        </w:rPr>
        <w:t>Within 15 days of receipt of an administrative order, an operator may provide the division information about the violation or violations addressed in the order. The division will consider any such information in determining the facts of the violation or violations and the amount of the final penalty.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60.16(5)</w:t>
      </w:r>
      <w:r>
        <w:rPr>
          <w:rFonts w:ascii="Times New Roman" w:hAnsi="Times New Roman"/>
          <w:b w:val="false"/>
          <w:i w:val="false"/>
          <w:color w:val="000000"/>
          <w:sz w:val="24"/>
        </w:rPr>
        <w:t> </w:t>
      </w:r>
      <w:r>
        <w:rPr>
          <w:rFonts w:ascii="Times New Roman" w:hAnsi="Times New Roman"/>
          <w:b w:val="false"/>
          <w:i/>
          <w:color w:val="000000"/>
          <w:sz w:val="24"/>
        </w:rPr>
        <w:t xml:space="preserve">Final assessment and payment of penalty.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Unless an appeal contesting the administrative order has been received, the proposed assessment shall become a final order within 30 days following service of the administrative order and the penalty assessed shall become due and payable. If the administrative order is appealed, the proposed assessment shall become a final order and the penalty assessed due and payable within 30 days following service of a final decision on the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penalties shall be paid within 30 days of the date that the order assessing the penalty becomes final. An operator who fails to pay an administrative penalty assessed by a final order of the division shall pay, in addition, interest at the rate of 1.5 percent of the unpaid balance of the assessed penalty for each month or part of a month that the penalty remains unpaid.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Failure to pay all penalties within 30 days of the date that the order assessing the penalty becomes final shall constitute a violation of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division may request the attorney general to institute proceedings to recover all penalties assessed in the event of failure of the operator to make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60.16(6)</w:t>
      </w:r>
      <w:r>
        <w:rPr>
          <w:rFonts w:ascii="Times New Roman" w:hAnsi="Times New Roman"/>
          <w:b w:val="false"/>
          <w:i w:val="false"/>
          <w:color w:val="000000"/>
          <w:sz w:val="24"/>
        </w:rPr>
        <w:t> </w:t>
      </w:r>
      <w:r>
        <w:rPr>
          <w:rFonts w:ascii="Times New Roman" w:hAnsi="Times New Roman"/>
          <w:b w:val="false"/>
          <w:i/>
          <w:color w:val="000000"/>
          <w:sz w:val="24"/>
        </w:rPr>
        <w:t xml:space="preserve">Deposit of penalty moneys. </w:t>
      </w:r>
      <w:r>
        <w:rPr>
          <w:rFonts w:ascii="Times New Roman" w:hAnsi="Times New Roman"/>
          <w:b w:val="false"/>
          <w:i w:val="false"/>
          <w:color w:val="000000"/>
          <w:sz w:val="24"/>
        </w:rPr>
        <w:t>Penalties collected under the provisions of these rules shall be deposited in an interest-bearing account and may be used for the cost and administrative expenses of reclamation or rehabilitation activities for any mine site as deemed necessary and appropriate by the division.</w:t>
      </w:r>
    </w:p>
    <w:p>
      <w:pPr>
        <w:spacing w:before="0" w:after="0" w:line="480"/>
        <w:ind w:left="120"/>
        <w:jc w:val="both"/>
      </w:pPr>
      <w:r>
        <w:rPr>
          <w:rFonts w:ascii="Times New Roman" w:hAnsi="Times New Roman"/>
          <w:b/>
          <w:i w:val="false"/>
          <w:color w:val="000000"/>
          <w:sz w:val="24"/>
        </w:rPr>
        <w:t>27—60.17</w:t>
      </w:r>
      <w:r>
        <w:rPr>
          <w:rFonts w:ascii="Times New Roman" w:hAnsi="Times New Roman"/>
          <w:b/>
          <w:i w:val="false"/>
          <w:color w:val="000000"/>
          <w:sz w:val="24"/>
        </w:rPr>
        <w:t xml:space="preserve">(208) </w:t>
      </w:r>
      <w:r>
        <w:rPr>
          <w:rFonts w:ascii="Times New Roman" w:hAnsi="Times New Roman"/>
          <w:b/>
          <w:i w:val="false"/>
          <w:color w:val="000000"/>
          <w:sz w:val="24"/>
        </w:rPr>
        <w:t xml:space="preserve">Forms.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60.17(1)</w:t>
      </w:r>
      <w:r>
        <w:rPr>
          <w:rFonts w:ascii="Times New Roman" w:hAnsi="Times New Roman"/>
          <w:b w:val="false"/>
          <w:i w:val="false"/>
          <w:color w:val="000000"/>
          <w:sz w:val="24"/>
        </w:rPr>
        <w:t> </w:t>
      </w:r>
      <w:r>
        <w:rPr>
          <w:rFonts w:ascii="Times New Roman" w:hAnsi="Times New Roman"/>
          <w:b w:val="false"/>
          <w:i/>
          <w:color w:val="000000"/>
          <w:sz w:val="24"/>
        </w:rPr>
        <w:t xml:space="preserve">Annual mine report. </w:t>
      </w:r>
      <w:r>
        <w:rPr>
          <w:rFonts w:ascii="Times New Roman" w:hAnsi="Times New Roman"/>
          <w:b w:val="false"/>
          <w:i w:val="false"/>
          <w:color w:val="000000"/>
          <w:sz w:val="24"/>
        </w:rPr>
        <w:t>This two-sided, one-page form requires identification of the operator and legal description of the mine site. This form requests a listing of the number of acres affected during the report year, the number of acres reclaimed, the number of acres estimated to be affected in the coming year and the number of acres presently bonded.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60.17(2)</w:t>
      </w:r>
      <w:r>
        <w:rPr>
          <w:rFonts w:ascii="Times New Roman" w:hAnsi="Times New Roman"/>
          <w:b w:val="false"/>
          <w:i w:val="false"/>
          <w:color w:val="000000"/>
          <w:sz w:val="24"/>
        </w:rPr>
        <w:t> </w:t>
      </w:r>
      <w:r>
        <w:rPr>
          <w:rFonts w:ascii="Times New Roman" w:hAnsi="Times New Roman"/>
          <w:b w:val="false"/>
          <w:i/>
          <w:color w:val="000000"/>
          <w:sz w:val="24"/>
        </w:rPr>
        <w:t xml:space="preserve">Assignment form. </w:t>
      </w:r>
      <w:r>
        <w:rPr>
          <w:rFonts w:ascii="Times New Roman" w:hAnsi="Times New Roman"/>
          <w:b w:val="false"/>
          <w:i w:val="false"/>
          <w:color w:val="000000"/>
          <w:sz w:val="24"/>
        </w:rPr>
        <w:t>This one-page form will be used by the operator to assign a certificate of deposit (CD) to the division when the CD is used in lieu of a surety bond or by the division to assign a CD to the operator, when the division is releasing a CD to the operator.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60.17(3)</w:t>
      </w:r>
      <w:r>
        <w:rPr>
          <w:rFonts w:ascii="Times New Roman" w:hAnsi="Times New Roman"/>
          <w:b w:val="false"/>
          <w:i w:val="false"/>
          <w:color w:val="000000"/>
          <w:sz w:val="24"/>
        </w:rPr>
        <w:t> </w:t>
      </w:r>
      <w:r>
        <w:rPr>
          <w:rFonts w:ascii="Times New Roman" w:hAnsi="Times New Roman"/>
          <w:b w:val="false"/>
          <w:i/>
          <w:color w:val="000000"/>
          <w:sz w:val="24"/>
        </w:rPr>
        <w:t xml:space="preserve">Bonding form. </w:t>
      </w:r>
      <w:r>
        <w:rPr>
          <w:rFonts w:ascii="Times New Roman" w:hAnsi="Times New Roman"/>
          <w:b w:val="false"/>
          <w:i w:val="false"/>
          <w:color w:val="000000"/>
          <w:sz w:val="24"/>
        </w:rPr>
        <w:t>This one-page form identifies the operator and the bonding company, lists the amount of the bond, the operator’s license number, the bond number, the enforcement date, the surety’s mailing address and provides for notarization of the signature for the surety.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60.17(4)</w:t>
      </w:r>
      <w:r>
        <w:rPr>
          <w:rFonts w:ascii="Times New Roman" w:hAnsi="Times New Roman"/>
          <w:b w:val="false"/>
          <w:i w:val="false"/>
          <w:color w:val="000000"/>
          <w:sz w:val="24"/>
        </w:rPr>
        <w:t> </w:t>
      </w:r>
      <w:r>
        <w:rPr>
          <w:rFonts w:ascii="Times New Roman" w:hAnsi="Times New Roman"/>
          <w:b w:val="false"/>
          <w:i/>
          <w:color w:val="000000"/>
          <w:sz w:val="24"/>
        </w:rPr>
        <w:t xml:space="preserve">Final report. </w:t>
      </w:r>
      <w:r>
        <w:rPr>
          <w:rFonts w:ascii="Times New Roman" w:hAnsi="Times New Roman"/>
          <w:b w:val="false"/>
          <w:i w:val="false"/>
          <w:color w:val="000000"/>
          <w:sz w:val="24"/>
        </w:rPr>
        <w:t xml:space="preserve">Upon conclusion of mining at any site the operator shall file a mining report indicating that all mining activity is completed. This report shall be filed regardless of any other reports filed in connection with subrule </w:t>
      </w:r>
      <w:hyperlink r:id="rId30">
        <w:r>
          <w:rPr>
            <w:rStyle w:val="Hyperlink"/>
            <w:rFonts w:ascii="Times New Roman" w:hAnsi="Times New Roman"/>
            <w:b w:val="false"/>
            <w:i w:val="false"/>
            <w:color w:val="000000"/>
            <w:sz w:val="24"/>
          </w:rPr>
          <w:t>60.12(3)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60.17(5)</w:t>
      </w:r>
      <w:r>
        <w:rPr>
          <w:rFonts w:ascii="Times New Roman" w:hAnsi="Times New Roman"/>
          <w:b w:val="false"/>
          <w:i w:val="false"/>
          <w:color w:val="000000"/>
          <w:sz w:val="24"/>
        </w:rPr>
        <w:t> </w:t>
      </w:r>
      <w:r>
        <w:rPr>
          <w:rFonts w:ascii="Times New Roman" w:hAnsi="Times New Roman"/>
          <w:b w:val="false"/>
          <w:i/>
          <w:color w:val="000000"/>
          <w:sz w:val="24"/>
        </w:rPr>
        <w:t xml:space="preserve">Interest release form. </w:t>
      </w:r>
      <w:r>
        <w:rPr>
          <w:rFonts w:ascii="Times New Roman" w:hAnsi="Times New Roman"/>
          <w:b w:val="false"/>
          <w:i w:val="false"/>
          <w:color w:val="000000"/>
          <w:sz w:val="24"/>
        </w:rPr>
        <w:t>This one-page form is used by the division to authorize banking authorities to release interest accumulated on a certificate of deposit, held in lieu of bond, to the operator.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60.17(6)</w:t>
      </w:r>
      <w:r>
        <w:rPr>
          <w:rFonts w:ascii="Times New Roman" w:hAnsi="Times New Roman"/>
          <w:b w:val="false"/>
          <w:i w:val="false"/>
          <w:color w:val="000000"/>
          <w:sz w:val="24"/>
        </w:rPr>
        <w:t> </w:t>
      </w:r>
      <w:r>
        <w:rPr>
          <w:rFonts w:ascii="Times New Roman" w:hAnsi="Times New Roman"/>
          <w:b w:val="false"/>
          <w:i/>
          <w:color w:val="000000"/>
          <w:sz w:val="24"/>
        </w:rPr>
        <w:t xml:space="preserve">License application. </w:t>
      </w:r>
      <w:r>
        <w:rPr>
          <w:rFonts w:ascii="Times New Roman" w:hAnsi="Times New Roman"/>
          <w:b w:val="false"/>
          <w:i w:val="false"/>
          <w:color w:val="000000"/>
          <w:sz w:val="24"/>
        </w:rPr>
        <w:t>This one-page form is used for both new applications and annual license renewals. This form serves to identify the person, firm, partnership or corporation applying for or renewing the license to mine minerals.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60.17(7)</w:t>
      </w:r>
      <w:r>
        <w:rPr>
          <w:rFonts w:ascii="Times New Roman" w:hAnsi="Times New Roman"/>
          <w:b w:val="false"/>
          <w:i w:val="false"/>
          <w:color w:val="000000"/>
          <w:sz w:val="24"/>
        </w:rPr>
        <w:t> </w:t>
      </w:r>
      <w:r>
        <w:rPr>
          <w:rFonts w:ascii="Times New Roman" w:hAnsi="Times New Roman"/>
          <w:b w:val="false"/>
          <w:i/>
          <w:color w:val="000000"/>
          <w:sz w:val="24"/>
        </w:rPr>
        <w:t xml:space="preserve">License certificate. </w:t>
      </w:r>
      <w:r>
        <w:rPr>
          <w:rFonts w:ascii="Times New Roman" w:hAnsi="Times New Roman"/>
          <w:b w:val="false"/>
          <w:i w:val="false"/>
          <w:color w:val="000000"/>
          <w:sz w:val="24"/>
        </w:rPr>
        <w:t>This one-page form is issued by the division upon successful application by the person, firm, partnership or corporation for a mining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60.17(8)</w:t>
      </w:r>
      <w:r>
        <w:rPr>
          <w:rFonts w:ascii="Times New Roman" w:hAnsi="Times New Roman"/>
          <w:b w:val="false"/>
          <w:i w:val="false"/>
          <w:color w:val="000000"/>
          <w:sz w:val="24"/>
        </w:rPr>
        <w:t> </w:t>
      </w:r>
      <w:r>
        <w:rPr>
          <w:rFonts w:ascii="Times New Roman" w:hAnsi="Times New Roman"/>
          <w:b w:val="false"/>
          <w:i/>
          <w:color w:val="000000"/>
          <w:sz w:val="24"/>
        </w:rPr>
        <w:t xml:space="preserve">Reclamation approval request. </w:t>
      </w:r>
      <w:r>
        <w:rPr>
          <w:rFonts w:ascii="Times New Roman" w:hAnsi="Times New Roman"/>
          <w:b w:val="false"/>
          <w:i w:val="false"/>
          <w:color w:val="000000"/>
          <w:sz w:val="24"/>
        </w:rPr>
        <w:t xml:space="preserve">This one-page form identifies the operator and the name and location of the site. This form also requires operator certification that all reclamation work has been completed as set forth in Iowa Code sections </w:t>
      </w:r>
      <w:hyperlink r:id="rId31">
        <w:r>
          <w:rPr>
            <w:rStyle w:val="Hyperlink"/>
            <w:rFonts w:ascii="Times New Roman" w:hAnsi="Times New Roman"/>
            <w:b w:val="false"/>
            <w:i w:val="false"/>
            <w:color w:val="000000"/>
            <w:sz w:val="24"/>
          </w:rPr>
          <w:t>208.17</w:t>
        </w:r>
      </w:hyperlink>
      <w:r>
        <w:rPr>
          <w:rFonts w:ascii="Times New Roman" w:hAnsi="Times New Roman"/>
          <w:b w:val="false"/>
          <w:i w:val="false"/>
          <w:color w:val="000000"/>
          <w:sz w:val="24"/>
        </w:rPr>
        <w:t xml:space="preserve"> and </w:t>
      </w:r>
      <w:hyperlink r:id="rId32">
        <w:r>
          <w:rPr>
            <w:rStyle w:val="Hyperlink"/>
            <w:rFonts w:ascii="Times New Roman" w:hAnsi="Times New Roman"/>
            <w:b w:val="false"/>
            <w:i w:val="false"/>
            <w:color w:val="000000"/>
            <w:sz w:val="24"/>
          </w:rPr>
          <w:t>208.19</w:t>
        </w:r>
      </w:hyperlink>
      <w:r>
        <w:rPr>
          <w:rFonts w:ascii="Times New Roman" w:hAnsi="Times New Roman"/>
          <w:b w:val="false"/>
          <w:i w:val="false"/>
          <w:color w:val="000000"/>
          <w:sz w:val="24"/>
        </w:rPr>
        <w:t xml:space="preserve"> and rule </w:t>
      </w:r>
      <w:hyperlink r:id="rId33">
        <w:r>
          <w:rPr>
            <w:rStyle w:val="Hyperlink"/>
            <w:rFonts w:ascii="Times New Roman" w:hAnsi="Times New Roman"/>
            <w:b w:val="false"/>
            <w:i w:val="false"/>
            <w:color w:val="000000"/>
            <w:sz w:val="24"/>
          </w:rPr>
          <w:t>27—60.14</w:t>
        </w:r>
      </w:hyperlink>
      <w:r>
        <w:rPr>
          <w:rFonts w:ascii="Times New Roman" w:hAnsi="Times New Roman"/>
          <w:b w:val="false"/>
          <w:i w:val="false"/>
          <w:color w:val="000000"/>
          <w:sz w:val="24"/>
        </w:rPr>
        <w:t>(208).</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60.17(9)</w:t>
      </w:r>
      <w:r>
        <w:rPr>
          <w:rFonts w:ascii="Times New Roman" w:hAnsi="Times New Roman"/>
          <w:b w:val="false"/>
          <w:i w:val="false"/>
          <w:color w:val="000000"/>
          <w:sz w:val="24"/>
        </w:rPr>
        <w:t> </w:t>
      </w:r>
      <w:r>
        <w:rPr>
          <w:rFonts w:ascii="Times New Roman" w:hAnsi="Times New Roman"/>
          <w:b w:val="false"/>
          <w:i/>
          <w:color w:val="000000"/>
          <w:sz w:val="24"/>
        </w:rPr>
        <w:t xml:space="preserve">Reclamation plan. </w:t>
      </w:r>
      <w:r>
        <w:rPr>
          <w:rFonts w:ascii="Times New Roman" w:hAnsi="Times New Roman"/>
          <w:b w:val="false"/>
          <w:i w:val="false"/>
          <w:color w:val="000000"/>
          <w:sz w:val="24"/>
        </w:rPr>
        <w:t xml:space="preserve">This form is used to inform the division of the mining company’s reclamation plans for the registered mine site per Iowa Code sections </w:t>
      </w:r>
      <w:hyperlink r:id="rId34">
        <w:r>
          <w:rPr>
            <w:rStyle w:val="Hyperlink"/>
            <w:rFonts w:ascii="Times New Roman" w:hAnsi="Times New Roman"/>
            <w:b w:val="false"/>
            <w:i w:val="false"/>
            <w:color w:val="000000"/>
            <w:sz w:val="24"/>
          </w:rPr>
          <w:t>208.17</w:t>
        </w:r>
      </w:hyperlink>
      <w:r>
        <w:rPr>
          <w:rFonts w:ascii="Times New Roman" w:hAnsi="Times New Roman"/>
          <w:b w:val="false"/>
          <w:i w:val="false"/>
          <w:color w:val="000000"/>
          <w:sz w:val="24"/>
        </w:rPr>
        <w:t xml:space="preserve"> and </w:t>
      </w:r>
      <w:hyperlink r:id="rId35">
        <w:r>
          <w:rPr>
            <w:rStyle w:val="Hyperlink"/>
            <w:rFonts w:ascii="Times New Roman" w:hAnsi="Times New Roman"/>
            <w:b w:val="false"/>
            <w:i w:val="false"/>
            <w:color w:val="000000"/>
            <w:sz w:val="24"/>
          </w:rPr>
          <w:t>208.19</w:t>
        </w:r>
      </w:hyperlink>
      <w:r>
        <w:rPr>
          <w:rFonts w:ascii="Times New Roman" w:hAnsi="Times New Roman"/>
          <w:b w:val="false"/>
          <w:i w:val="false"/>
          <w:color w:val="000000"/>
          <w:sz w:val="24"/>
        </w:rPr>
        <w:t xml:space="preserve"> and rule </w:t>
      </w:r>
      <w:hyperlink r:id="rId36">
        <w:r>
          <w:rPr>
            <w:rStyle w:val="Hyperlink"/>
            <w:rFonts w:ascii="Times New Roman" w:hAnsi="Times New Roman"/>
            <w:b w:val="false"/>
            <w:i w:val="false"/>
            <w:color w:val="000000"/>
            <w:sz w:val="24"/>
          </w:rPr>
          <w:t>27—60.14</w:t>
        </w:r>
      </w:hyperlink>
      <w:r>
        <w:rPr>
          <w:rFonts w:ascii="Times New Roman" w:hAnsi="Times New Roman"/>
          <w:b w:val="false"/>
          <w:i w:val="false"/>
          <w:color w:val="000000"/>
          <w:sz w:val="24"/>
        </w:rPr>
        <w:t>(208).</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60.17(10)</w:t>
      </w:r>
      <w:r>
        <w:rPr>
          <w:rFonts w:ascii="Times New Roman" w:hAnsi="Times New Roman"/>
          <w:b w:val="false"/>
          <w:i w:val="false"/>
          <w:color w:val="000000"/>
          <w:sz w:val="24"/>
        </w:rPr>
        <w:t> </w:t>
      </w:r>
      <w:r>
        <w:rPr>
          <w:rFonts w:ascii="Times New Roman" w:hAnsi="Times New Roman"/>
          <w:b w:val="false"/>
          <w:i/>
          <w:color w:val="000000"/>
          <w:sz w:val="24"/>
        </w:rPr>
        <w:t xml:space="preserve">Registration application. </w:t>
      </w:r>
      <w:r>
        <w:rPr>
          <w:rFonts w:ascii="Times New Roman" w:hAnsi="Times New Roman"/>
          <w:b w:val="false"/>
          <w:i w:val="false"/>
          <w:color w:val="000000"/>
          <w:sz w:val="24"/>
        </w:rPr>
        <w:t>This one-page form is used by the applicant desiring to engage in surface mining. This form includes the name of the licensee, the site name and location, the material produced, the source of the operator’s legal right to mine the described area and the owner(s) of the mineral rights and the land to be surface mined.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60.17(11)</w:t>
      </w:r>
      <w:r>
        <w:rPr>
          <w:rFonts w:ascii="Times New Roman" w:hAnsi="Times New Roman"/>
          <w:b w:val="false"/>
          <w:i w:val="false"/>
          <w:color w:val="000000"/>
          <w:sz w:val="24"/>
        </w:rPr>
        <w:t> </w:t>
      </w:r>
      <w:r>
        <w:rPr>
          <w:rFonts w:ascii="Times New Roman" w:hAnsi="Times New Roman"/>
          <w:b w:val="false"/>
          <w:i/>
          <w:color w:val="000000"/>
          <w:sz w:val="24"/>
        </w:rPr>
        <w:t xml:space="preserve">Registration certificate. </w:t>
      </w:r>
      <w:r>
        <w:rPr>
          <w:rFonts w:ascii="Times New Roman" w:hAnsi="Times New Roman"/>
          <w:b w:val="false"/>
          <w:i w:val="false"/>
          <w:color w:val="000000"/>
          <w:sz w:val="24"/>
        </w:rPr>
        <w:t>This one-page form is issued by the division upon successful application by an operator for site registration or updated registration.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60.17(12)</w:t>
      </w:r>
      <w:r>
        <w:rPr>
          <w:rFonts w:ascii="Times New Roman" w:hAnsi="Times New Roman"/>
          <w:b w:val="false"/>
          <w:i w:val="false"/>
          <w:color w:val="000000"/>
          <w:sz w:val="24"/>
        </w:rPr>
        <w:t> </w:t>
      </w:r>
      <w:r>
        <w:rPr>
          <w:rFonts w:ascii="Times New Roman" w:hAnsi="Times New Roman"/>
          <w:b w:val="false"/>
          <w:i/>
          <w:color w:val="000000"/>
          <w:sz w:val="24"/>
        </w:rPr>
        <w:t xml:space="preserve">Request for bond release. </w:t>
      </w:r>
      <w:r>
        <w:rPr>
          <w:rFonts w:ascii="Times New Roman" w:hAnsi="Times New Roman"/>
          <w:b w:val="false"/>
          <w:i w:val="false"/>
          <w:color w:val="000000"/>
          <w:sz w:val="24"/>
        </w:rPr>
        <w:t>This one-page form identifies the operator and the bonding company, lists the amount of bond and the bond number, states the reason for the release request, and provides for an approval signature by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60.17(13)</w:t>
      </w:r>
      <w:r>
        <w:rPr>
          <w:rFonts w:ascii="Times New Roman" w:hAnsi="Times New Roman"/>
          <w:b w:val="false"/>
          <w:i w:val="false"/>
          <w:color w:val="000000"/>
          <w:sz w:val="24"/>
        </w:rPr>
        <w:t> </w:t>
      </w:r>
      <w:r>
        <w:rPr>
          <w:rFonts w:ascii="Times New Roman" w:hAnsi="Times New Roman"/>
          <w:b w:val="false"/>
          <w:i/>
          <w:color w:val="000000"/>
          <w:sz w:val="24"/>
        </w:rPr>
        <w:t xml:space="preserve">Transfer application. </w:t>
      </w:r>
      <w:r>
        <w:rPr>
          <w:rFonts w:ascii="Times New Roman" w:hAnsi="Times New Roman"/>
          <w:b w:val="false"/>
          <w:i w:val="false"/>
          <w:color w:val="000000"/>
          <w:sz w:val="24"/>
        </w:rPr>
        <w:t>This one-page form identifies the transferee and the transferor and their respective surety companies, lists the site and site location, and provides a prewritten agreement for transfer of all bonding and site reclamation responsibilities to the transferee.</w:t>
      </w:r>
    </w:p>
    <w:p>
      <w:pPr>
        <w:spacing w:before="210" w:after="0" w:line="480"/>
        <w:ind w:left="120"/>
        <w:jc w:val="both"/>
      </w:pPr>
      <w:r>
        <w:rPr>
          <w:rFonts w:ascii="Times New Roman" w:hAnsi="Times New Roman"/>
          <w:b/>
          <w:i w:val="false"/>
          <w:color w:val="000000"/>
          <w:sz w:val="24"/>
        </w:rPr>
        <w:t>27—60.18</w:t>
      </w:r>
      <w:r>
        <w:rPr>
          <w:rFonts w:ascii="Times New Roman" w:hAnsi="Times New Roman"/>
          <w:b/>
          <w:i w:val="false"/>
          <w:color w:val="000000"/>
          <w:sz w:val="24"/>
        </w:rPr>
        <w:t xml:space="preserve">(208) </w:t>
      </w:r>
      <w:r>
        <w:rPr>
          <w:rFonts w:ascii="Times New Roman" w:hAnsi="Times New Roman"/>
          <w:b/>
          <w:i w:val="false"/>
          <w:color w:val="000000"/>
          <w:sz w:val="24"/>
        </w:rPr>
        <w:t xml:space="preserve">Political subdivisions engaged in mining. </w:t>
      </w:r>
      <w:r>
        <w:rPr>
          <w:rFonts w:ascii="Times New Roman" w:hAnsi="Times New Roman"/>
          <w:b w:val="false"/>
          <w:i w:val="false"/>
          <w:color w:val="000000"/>
          <w:sz w:val="24"/>
        </w:rPr>
        <w:t xml:space="preserve">Any political subdivision of the state of Iowa that engages in or intends to engage in operating a mine as defined under rule </w:t>
      </w:r>
      <w:hyperlink r:id="rId37">
        <w:r>
          <w:rPr>
            <w:rStyle w:val="Hyperlink"/>
            <w:rFonts w:ascii="Times New Roman" w:hAnsi="Times New Roman"/>
            <w:b w:val="false"/>
            <w:i w:val="false"/>
            <w:color w:val="000000"/>
            <w:sz w:val="24"/>
          </w:rPr>
          <w:t>27—60.3</w:t>
        </w:r>
      </w:hyperlink>
      <w:r>
        <w:rPr>
          <w:rFonts w:ascii="Times New Roman" w:hAnsi="Times New Roman"/>
          <w:b w:val="false"/>
          <w:i w:val="false"/>
          <w:color w:val="000000"/>
          <w:sz w:val="24"/>
        </w:rPr>
        <w:t xml:space="preserve">(208) shall meet all requirements of this chapter except that the subdivision shall not be required to pay the license fee under rule </w:t>
      </w:r>
      <w:hyperlink r:id="rId38">
        <w:r>
          <w:rPr>
            <w:rStyle w:val="Hyperlink"/>
            <w:rFonts w:ascii="Times New Roman" w:hAnsi="Times New Roman"/>
            <w:b w:val="false"/>
            <w:i w:val="false"/>
            <w:color w:val="000000"/>
            <w:sz w:val="24"/>
          </w:rPr>
          <w:t>27—60.4</w:t>
        </w:r>
      </w:hyperlink>
      <w:r>
        <w:rPr>
          <w:rFonts w:ascii="Times New Roman" w:hAnsi="Times New Roman"/>
          <w:b w:val="false"/>
          <w:i w:val="false"/>
          <w:color w:val="000000"/>
          <w:sz w:val="24"/>
        </w:rPr>
        <w:t xml:space="preserve">(208) and shall not be required to post bonds as required under rule </w:t>
      </w:r>
      <w:hyperlink r:id="rId39">
        <w:r>
          <w:rPr>
            <w:rStyle w:val="Hyperlink"/>
            <w:rFonts w:ascii="Times New Roman" w:hAnsi="Times New Roman"/>
            <w:b w:val="false"/>
            <w:i w:val="false"/>
            <w:color w:val="000000"/>
            <w:sz w:val="24"/>
          </w:rPr>
          <w:t>27—60.7</w:t>
        </w:r>
      </w:hyperlink>
      <w:r>
        <w:rPr>
          <w:rFonts w:ascii="Times New Roman" w:hAnsi="Times New Roman"/>
          <w:b w:val="false"/>
          <w:i w:val="false"/>
          <w:color w:val="000000"/>
          <w:sz w:val="24"/>
        </w:rPr>
        <w:t>(208). An official representative of the political subdivision shall complete a license application form for informational purposes only.</w:t>
      </w:r>
    </w:p>
    <w:p>
      <w:pPr>
        <w:spacing w:before="0" w:after="0" w:line="480"/>
        <w:ind w:left="120"/>
        <w:jc w:val="both"/>
      </w:pPr>
      <w:r>
        <w:rPr>
          <w:rFonts w:ascii="Times New Roman" w:hAnsi="Times New Roman"/>
          <w:b/>
          <w:i w:val="false"/>
          <w:color w:val="000000"/>
          <w:sz w:val="24"/>
        </w:rPr>
        <w:t>27—60.19</w:t>
      </w:r>
      <w:r>
        <w:rPr>
          <w:rFonts w:ascii="Times New Roman" w:hAnsi="Times New Roman"/>
          <w:b/>
          <w:i w:val="false"/>
          <w:color w:val="000000"/>
          <w:sz w:val="24"/>
        </w:rPr>
        <w:t xml:space="preserve">(208) </w:t>
      </w:r>
      <w:r>
        <w:rPr>
          <w:rFonts w:ascii="Times New Roman" w:hAnsi="Times New Roman"/>
          <w:b/>
          <w:i w:val="false"/>
          <w:color w:val="000000"/>
          <w:sz w:val="24"/>
        </w:rPr>
        <w:t xml:space="preserve">Subsidence.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60.19(1)</w:t>
      </w:r>
      <w:r>
        <w:rPr>
          <w:rFonts w:ascii="Times New Roman" w:hAnsi="Times New Roman"/>
          <w:b w:val="false"/>
          <w:i w:val="false"/>
          <w:color w:val="000000"/>
          <w:sz w:val="24"/>
        </w:rPr>
        <w:t> </w:t>
      </w:r>
      <w:r>
        <w:rPr>
          <w:rFonts w:ascii="Times New Roman" w:hAnsi="Times New Roman"/>
          <w:b w:val="false"/>
          <w:i/>
          <w:color w:val="000000"/>
          <w:sz w:val="24"/>
        </w:rPr>
        <w:t xml:space="preserve">Notification. </w:t>
      </w:r>
      <w:r>
        <w:rPr>
          <w:rFonts w:ascii="Times New Roman" w:hAnsi="Times New Roman"/>
          <w:b w:val="false"/>
          <w:i w:val="false"/>
          <w:color w:val="000000"/>
          <w:sz w:val="24"/>
        </w:rPr>
        <w:t>An operator of a registered mine site shall notify the division within 48 hours of discovery of a subsidence. Upon notification to the division, the operator shall submit an initial assessment of the subsidence to the division within 14 business days. An initial assessment must include but is not limited to the estimated depth and width of the subsidence, a map of the surface area affected, and a map of the underground collapse.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60.19(2)</w:t>
      </w:r>
      <w:r>
        <w:rPr>
          <w:rFonts w:ascii="Times New Roman" w:hAnsi="Times New Roman"/>
          <w:b w:val="false"/>
          <w:i w:val="false"/>
          <w:color w:val="000000"/>
          <w:sz w:val="24"/>
        </w:rPr>
        <w:t> </w:t>
      </w:r>
      <w:r>
        <w:rPr>
          <w:rFonts w:ascii="Times New Roman" w:hAnsi="Times New Roman"/>
          <w:b w:val="false"/>
          <w:i/>
          <w:color w:val="000000"/>
          <w:sz w:val="24"/>
        </w:rPr>
        <w:t xml:space="preserve">Subsidence repair plans. </w:t>
      </w:r>
      <w:r>
        <w:rPr>
          <w:rFonts w:ascii="Times New Roman" w:hAnsi="Times New Roman"/>
          <w:b w:val="false"/>
          <w:i w:val="false"/>
          <w:color w:val="000000"/>
          <w:sz w:val="24"/>
        </w:rPr>
        <w:t>Following an initial assessment, an operator shall submit a subsidence repair plan to the division within a time period determined by the division. In consultation with the division, the plan shall include, to the extent necessary, all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scaled and georeferenced map indicating the location of the subsidence.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detailed description of the proposed methods and steps to address and repair any damage caused by the subsidence.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proposed timeline outlining the phases and expected duration of the repair.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Written approval of plans, observations, and completion of the repair by a licensed professional engineer or an experienced and qualified mining professional to the satisfaction of the division.</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40">
        <w:r>
          <w:rPr>
            <w:rStyle w:val="Hyperlink"/>
            <w:rFonts w:ascii="Times New Roman" w:hAnsi="Times New Roman"/>
            <w:b w:val="false"/>
            <w:i w:val="false"/>
            <w:color w:val="000000"/>
            <w:sz w:val="24"/>
          </w:rPr>
          <w:t>208</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4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lin.tadlock@iowaagriculture.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208.pdf" Type="http://schemas.openxmlformats.org/officeDocument/2006/relationships/hyperlink" Id="rId6"/>
    <Relationship TargetMode="External" Target="https://www.legis.iowa.gov/docs/ico/chapter/208.pdf" Type="http://schemas.openxmlformats.org/officeDocument/2006/relationships/hyperlink" Id="rId7"/>
    <Relationship TargetMode="External" Target="https://www.legis.iowa.gov/docs/ico/chapter/208.7.pdf" Type="http://schemas.openxmlformats.org/officeDocument/2006/relationships/hyperlink" Id="rId8"/>
    <Relationship TargetMode="External" Target="https://www.legis.iowa.gov/docs/iac/rule/27.60.4.pdf" Type="http://schemas.openxmlformats.org/officeDocument/2006/relationships/hyperlink" Id="rId9"/>
    <Relationship TargetMode="External" Target="https://www.legis.iowa.gov/docs/iac/rule/27.60.5.pdf" Type="http://schemas.openxmlformats.org/officeDocument/2006/relationships/hyperlink" Id="rId10"/>
    <Relationship TargetMode="External" Target="https://www.legis.iowa.gov/docs/iac/rule/27.60.5.pdf" Type="http://schemas.openxmlformats.org/officeDocument/2006/relationships/hyperlink" Id="rId11"/>
    <Relationship TargetMode="External" Target="https://www.legis.iowa.gov/docs/ico/chapter/208.9.pdf" Type="http://schemas.openxmlformats.org/officeDocument/2006/relationships/hyperlink" Id="rId12"/>
    <Relationship TargetMode="External" Target="https://www.legis.iowa.gov/docs/iac/rule/27.60.5.pdf" Type="http://schemas.openxmlformats.org/officeDocument/2006/relationships/hyperlink" Id="rId13"/>
    <Relationship TargetMode="External" Target="https://www.legis.iowa.gov/docs/ico/chapter/208.pdf" Type="http://schemas.openxmlformats.org/officeDocument/2006/relationships/hyperlink" Id="rId14"/>
    <Relationship TargetMode="External" Target="https://www.legis.iowa.gov/docs/iac/rule/27.60.7.pdf" Type="http://schemas.openxmlformats.org/officeDocument/2006/relationships/hyperlink" Id="rId15"/>
    <Relationship TargetMode="External" Target="https://www.legis.iowa.gov/docs/ico/chapter/208.23.pdf" Type="http://schemas.openxmlformats.org/officeDocument/2006/relationships/hyperlink" Id="rId16"/>
    <Relationship TargetMode="External" Target="https://www.legis.iowa.gov/docs/ico/chapter/208.pdf" Type="http://schemas.openxmlformats.org/officeDocument/2006/relationships/hyperlink" Id="rId17"/>
    <Relationship TargetMode="External" Target="https://www.legis.iowa.gov/docs/ico/chapter/208.pdf" Type="http://schemas.openxmlformats.org/officeDocument/2006/relationships/hyperlink" Id="rId18"/>
    <Relationship TargetMode="External" Target="https://www.legis.iowa.gov/docs/ico/chapter/208.17.pdf" Type="http://schemas.openxmlformats.org/officeDocument/2006/relationships/hyperlink" Id="rId19"/>
    <Relationship TargetMode="External" Target="https://www.legis.iowa.gov/docs/iac/rule/27.60.5.pdf" Type="http://schemas.openxmlformats.org/officeDocument/2006/relationships/hyperlink" Id="rId20"/>
    <Relationship TargetMode="External" Target="https://www.legis.iowa.gov/docs/iac/rule/27.60.8.pdf" Type="http://schemas.openxmlformats.org/officeDocument/2006/relationships/hyperlink" Id="rId21"/>
    <Relationship TargetMode="External" Target="https://www.legis.iowa.gov/docs/ico/chapter/208.pdf" Type="http://schemas.openxmlformats.org/officeDocument/2006/relationships/hyperlink" Id="rId22"/>
    <Relationship TargetMode="External" Target="https://www.legis.iowa.gov/docs/ico/chapter/208.pdf" Type="http://schemas.openxmlformats.org/officeDocument/2006/relationships/hyperlink" Id="rId23"/>
    <Relationship TargetMode="External" Target="https://www.legis.iowa.gov/docs/ico/chapter/208.10A.pdf" Type="http://schemas.openxmlformats.org/officeDocument/2006/relationships/hyperlink" Id="rId24"/>
    <Relationship TargetMode="External" Target="https://www.legis.iowa.gov/docs/ico/chapter/456.11.pdf" Type="http://schemas.openxmlformats.org/officeDocument/2006/relationships/hyperlink" Id="rId25"/>
    <Relationship TargetMode="External" Target="https://www.legis.iowa.gov/docs/iac/rule/27.60.15.pdf" Type="http://schemas.openxmlformats.org/officeDocument/2006/relationships/hyperlink" Id="rId26"/>
    <Relationship TargetMode="External" Target="https://www.legis.iowa.gov/docs/iac/rule/27.60.14.pdf" Type="http://schemas.openxmlformats.org/officeDocument/2006/relationships/hyperlink" Id="rId27"/>
    <Relationship TargetMode="External" Target="https://www.legis.iowa.gov/docs/iac/rule/27.60.14.pdf" Type="http://schemas.openxmlformats.org/officeDocument/2006/relationships/hyperlink" Id="rId28"/>
    <Relationship TargetMode="External" Target="https://www.legis.iowa.gov/docs/iac/rule/27.60.15.pdf" Type="http://schemas.openxmlformats.org/officeDocument/2006/relationships/hyperlink" Id="rId29"/>
    <Relationship TargetMode="External" Target="https://www.legis.iowa.gov/docs/iac/rule/27.60.12.pdf" Type="http://schemas.openxmlformats.org/officeDocument/2006/relationships/hyperlink" Id="rId30"/>
    <Relationship TargetMode="External" Target="https://www.legis.iowa.gov/docs/ico/chapter/208.17.pdf" Type="http://schemas.openxmlformats.org/officeDocument/2006/relationships/hyperlink" Id="rId31"/>
    <Relationship TargetMode="External" Target="https://www.legis.iowa.gov/docs/ico/chapter/208.19.pdf" Type="http://schemas.openxmlformats.org/officeDocument/2006/relationships/hyperlink" Id="rId32"/>
    <Relationship TargetMode="External" Target="https://www.legis.iowa.gov/docs/iac/rule/27.60.14.pdf" Type="http://schemas.openxmlformats.org/officeDocument/2006/relationships/hyperlink" Id="rId33"/>
    <Relationship TargetMode="External" Target="https://www.legis.iowa.gov/docs/ico/chapter/208.17.pdf" Type="http://schemas.openxmlformats.org/officeDocument/2006/relationships/hyperlink" Id="rId34"/>
    <Relationship TargetMode="External" Target="https://www.legis.iowa.gov/docs/ico/chapter/208.19.pdf" Type="http://schemas.openxmlformats.org/officeDocument/2006/relationships/hyperlink" Id="rId35"/>
    <Relationship TargetMode="External" Target="https://www.legis.iowa.gov/docs/iac/rule/27.60.14.pdf" Type="http://schemas.openxmlformats.org/officeDocument/2006/relationships/hyperlink" Id="rId36"/>
    <Relationship TargetMode="External" Target="https://www.legis.iowa.gov/docs/iac/rule/27.60.3.pdf" Type="http://schemas.openxmlformats.org/officeDocument/2006/relationships/hyperlink" Id="rId37"/>
    <Relationship TargetMode="External" Target="https://www.legis.iowa.gov/docs/iac/rule/27.60.4.pdf" Type="http://schemas.openxmlformats.org/officeDocument/2006/relationships/hyperlink" Id="rId38"/>
    <Relationship TargetMode="External" Target="https://www.legis.iowa.gov/docs/iac/rule/27.60.7.pdf" Type="http://schemas.openxmlformats.org/officeDocument/2006/relationships/hyperlink" Id="rId39"/>
    <Relationship TargetMode="External" Target="https://www.legis.iowa.gov/docs/ico/chapter/208.pdf" Type="http://schemas.openxmlformats.org/officeDocument/2006/relationships/hyperlink" Id="rId40"/>
    <Relationship Target="footer.xml" Type="http://schemas.openxmlformats.org/officeDocument/2006/relationships/footer" Id="rId4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