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6D" w:id="1"/>
    <w:p>
      <w:pPr>
        <w:spacing w:before="0" w:after="0" w:line="480"/>
        <w:ind w:left="120"/>
        <w:jc w:val="right"/>
      </w:pPr>
      <w:r>
        <w:rPr>
          <w:rFonts w:ascii="Times New Roman" w:hAnsi="Times New Roman"/>
          <w:b/>
          <w:i w:val="false"/>
          <w:color w:val="000000"/>
          <w:sz w:val="28"/>
        </w:rPr>
        <w:t>ARC 0566D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aftercare services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187, “Aftercare Services Program,” Iowa Administrative Code, and to adopt a new Chapter 187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234.46.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234.46 and the Foster Care Independence Act of 1999.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chapter was reviewed under Executive Order 10. As a result, duplicative terms were removed, restrictive terms were reduced, and the rules were streamlined and updated to reflect current practices. </w:t>
      </w:r>
    </w:p>
    <w:p>
      <w:pPr>
        <w:spacing w:before="0" w:after="0" w:line="480"/>
        <w:ind w:left="120"/>
        <w:jc w:val="both"/>
      </w:pPr>
      <w:r>
        <w:rPr>
          <w:rFonts w:ascii="Times New Roman" w:hAnsi="Times New Roman"/>
          <w:b w:val="false"/>
          <w:i w:val="false"/>
          <w:color w:val="000000"/>
          <w:sz w:val="24"/>
        </w:rPr>
        <w:t>    This proposed chapter outlines the program services and support opportunities available to youth who are transitioning from foster care, the State Training School, or a court-ordered Iowa juvenile detention center to adulthood. The program offers voluntary services and financial benefits to eligible youth up to the age of 23.</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211 532 914 792 67</w:t>
            </w:r>
            <w:r>
              <w:br/>
            </w:r>
            <w:r>
              <w:rPr>
                <w:rFonts w:ascii="Times New Roman" w:hAnsi="Times New Roman"/>
                <w:b w:val="false"/>
                <w:i w:val="false"/>
                <w:color w:val="000000"/>
                <w:sz w:val="14"/>
              </w:rPr>
              <w:t xml:space="preserve"> Passcode: 94Ve93DX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298 652 447 812 351</w:t>
            </w:r>
            <w:r>
              <w:br/>
            </w:r>
            <w:r>
              <w:rPr>
                <w:rFonts w:ascii="Times New Roman" w:hAnsi="Times New Roman"/>
                <w:b w:val="false"/>
                <w:i w:val="false"/>
                <w:color w:val="000000"/>
                <w:sz w:val="14"/>
              </w:rPr>
              <w:t xml:space="preserve"> Passcode: GU7FC9wR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187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187</w:t>
      </w:r>
    </w:p>
    <w:p>
      <w:pPr>
        <w:spacing w:before="0" w:after="0" w:line="480"/>
        <w:ind w:left="120"/>
        <w:jc w:val="center"/>
      </w:pPr>
      <w:r>
        <w:rPr>
          <w:rFonts w:ascii="Times New Roman" w:hAnsi="Times New Roman"/>
          <w:b w:val="false"/>
          <w:i w:val="false"/>
          <w:color w:val="000000"/>
          <w:sz w:val="21"/>
        </w:rPr>
        <w:t>AFTERCARE SERVICES PROGRAM</w:t>
      </w:r>
    </w:p>
    <w:p>
      <w:pPr>
        <w:spacing w:before="0" w:after="0" w:line="480"/>
        <w:ind w:left="120"/>
        <w:jc w:val="both"/>
      </w:pPr>
      <w:r>
        <w:rPr>
          <w:rFonts w:ascii="Times New Roman" w:hAnsi="Times New Roman"/>
          <w:b/>
          <w:i w:val="false"/>
          <w:color w:val="000000"/>
          <w:sz w:val="24"/>
        </w:rPr>
        <w:t>441—187.1</w:t>
      </w:r>
      <w:r>
        <w:rPr>
          <w:rFonts w:ascii="Times New Roman" w:hAnsi="Times New Roman"/>
          <w:b/>
          <w:i w:val="false"/>
          <w:color w:val="000000"/>
          <w:sz w:val="24"/>
        </w:rPr>
        <w:t xml:space="preserve">(234) </w:t>
      </w:r>
      <w:r>
        <w:rPr>
          <w:rFonts w:ascii="Times New Roman" w:hAnsi="Times New Roman"/>
          <w:b/>
          <w:i w:val="false"/>
          <w:color w:val="000000"/>
          <w:sz w:val="24"/>
        </w:rPr>
        <w:t xml:space="preserve">Aftercare services program eligibility requirements. </w:t>
      </w:r>
      <w:r>
        <w:rPr>
          <w:rFonts w:ascii="Times New Roman" w:hAnsi="Times New Roman"/>
          <w:b w:val="false"/>
          <w:i w:val="false"/>
          <w:color w:val="000000"/>
          <w:sz w:val="24"/>
        </w:rPr>
        <w:t>To be eligible for aftercare services, a youth needs to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187.1(1)</w:t>
      </w:r>
      <w:r>
        <w:rPr>
          <w:rFonts w:ascii="Times New Roman" w:hAnsi="Times New Roman"/>
          <w:b w:val="false"/>
          <w:i w:val="false"/>
          <w:color w:val="000000"/>
          <w:sz w:val="24"/>
        </w:rPr>
        <w:t> </w:t>
      </w:r>
      <w:r>
        <w:rPr>
          <w:rFonts w:ascii="Times New Roman" w:hAnsi="Times New Roman"/>
          <w:b w:val="false"/>
          <w:i/>
          <w:color w:val="000000"/>
          <w:sz w:val="24"/>
        </w:rPr>
        <w:t xml:space="preserve">Residence. </w:t>
      </w:r>
      <w:r>
        <w:rPr>
          <w:rFonts w:ascii="Times New Roman" w:hAnsi="Times New Roman"/>
          <w:b w:val="false"/>
          <w:i w:val="false"/>
          <w:color w:val="000000"/>
          <w:sz w:val="24"/>
        </w:rPr>
        <w:t>The youth must be a resident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187.1(2)</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The youth must be at least 17 years of age but less than 23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187.1(3)</w:t>
      </w:r>
      <w:r>
        <w:rPr>
          <w:rFonts w:ascii="Times New Roman" w:hAnsi="Times New Roman"/>
          <w:b w:val="false"/>
          <w:i w:val="false"/>
          <w:color w:val="000000"/>
          <w:sz w:val="24"/>
        </w:rPr>
        <w:t> </w:t>
      </w:r>
      <w:r>
        <w:rPr>
          <w:rFonts w:ascii="Times New Roman" w:hAnsi="Times New Roman"/>
          <w:b w:val="false"/>
          <w:i/>
          <w:color w:val="000000"/>
          <w:sz w:val="24"/>
        </w:rPr>
        <w:t xml:space="preserve">Out-of-home placement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Preservices. </w:t>
      </w:r>
      <w:r>
        <w:rPr>
          <w:rFonts w:ascii="Times New Roman" w:hAnsi="Times New Roman"/>
          <w:b w:val="false"/>
          <w:i w:val="false"/>
          <w:color w:val="000000"/>
          <w:sz w:val="24"/>
        </w:rPr>
        <w:t>The youth must meet eligibility requirements for preservices as described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youth is at least 17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youth is placed in foster care, the state training school, or a court-ordered Iowa juvenile detention center; was adopted from foster care after reaching 16 years of age; or entered a subsidized guardianship arrangement from foster care after reaching 16 years of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youth has access to funding for preservices provided in contract that has not been fully expended for the contract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Core services. </w:t>
      </w:r>
      <w:r>
        <w:rPr>
          <w:rFonts w:ascii="Times New Roman" w:hAnsi="Times New Roman"/>
          <w:b w:val="false"/>
          <w:i w:val="false"/>
          <w:color w:val="000000"/>
          <w:sz w:val="24"/>
        </w:rPr>
        <w:t>The youth must meet eligibility requirements for core services as described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youth is 18, 19, or 20 years of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youth exited foster care, the state training school, or a court-ordered Iowa juvenile detention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On or after the youth’s eighteenth birthday;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Between the ages of 17½ and 18 after having been in any combination of foster care, the state training school, or a court-ordered Iowa juvenile detention center for at least one day in at least 6 of the 12 calendar months prior to the youth leaving placement;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youth was adopted from foster care on or after the youth’s sixteenth birthday;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youth entered a subsidized guardianship arrangement from foster care on or after the youth’s sixteenth birthday.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Extended services. </w:t>
      </w:r>
      <w:r>
        <w:rPr>
          <w:rFonts w:ascii="Times New Roman" w:hAnsi="Times New Roman"/>
          <w:b w:val="false"/>
          <w:i w:val="false"/>
          <w:color w:val="000000"/>
          <w:sz w:val="24"/>
        </w:rPr>
        <w:t>The youth must meet eligibility requirements for extended services as described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youth resides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youth is 21 or 22 years of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youth has access to funding for extended services provided in contract that has not been fully expended for the contract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Definition of foster care. </w:t>
      </w:r>
      <w:r>
        <w:rPr>
          <w:rFonts w:ascii="Times New Roman" w:hAnsi="Times New Roman"/>
          <w:b w:val="false"/>
          <w:i w:val="false"/>
          <w:color w:val="000000"/>
          <w:sz w:val="24"/>
        </w:rPr>
        <w:t>For purposes of this chapter, “foster care” is defined as 24-hour substitute care for a child who is placed away from the child’s parents or guardians and for whom the department or juvenile court services has placement and care responsibility through either a court order or voluntary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placement may meet this definition of foster care regardless of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placement is licensed and the state or a local agency makes payments for the child’s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Adoption subsidy payments are being made before the finalization of adoption;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is federal matching of any payments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Foster care may include but is not limited to placement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foster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foster care group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emergency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Supervised apartment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preadoptive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home of a relative or suitable person;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psychiatric medical institution for children (PMIC).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187.1(4)</w:t>
      </w:r>
      <w:r>
        <w:rPr>
          <w:rFonts w:ascii="Times New Roman" w:hAnsi="Times New Roman"/>
          <w:b w:val="false"/>
          <w:i w:val="false"/>
          <w:color w:val="000000"/>
          <w:sz w:val="24"/>
        </w:rPr>
        <w:t> </w:t>
      </w:r>
      <w:r>
        <w:rPr>
          <w:rFonts w:ascii="Times New Roman" w:hAnsi="Times New Roman"/>
          <w:b w:val="false"/>
          <w:i/>
          <w:color w:val="000000"/>
          <w:sz w:val="24"/>
        </w:rPr>
        <w:t xml:space="preserve">Responsibility. </w:t>
      </w:r>
      <w:r>
        <w:rPr>
          <w:rFonts w:ascii="Times New Roman" w:hAnsi="Times New Roman"/>
          <w:b w:val="false"/>
          <w:i w:val="false"/>
          <w:color w:val="000000"/>
          <w:sz w:val="24"/>
        </w:rPr>
        <w:t>The youth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Actively take part in developing and participating in an individual self-sufficiency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Indicate recognition and acceptance of personal responsibility in the transition toward self-sufficiency, which includes meeting with the self-sufficiency advocate regularly and as described in the youth’s individual self-sufficiency plan.</w:t>
      </w:r>
    </w:p>
    <w:p>
      <w:pPr>
        <w:spacing w:before="0" w:after="0" w:line="480"/>
        <w:ind w:left="120"/>
        <w:jc w:val="both"/>
      </w:pPr>
      <w:r>
        <w:rPr>
          <w:rFonts w:ascii="Times New Roman" w:hAnsi="Times New Roman"/>
          <w:b/>
          <w:i w:val="false"/>
          <w:color w:val="000000"/>
          <w:sz w:val="24"/>
        </w:rPr>
        <w:t>441—187.2</w:t>
      </w:r>
      <w:r>
        <w:rPr>
          <w:rFonts w:ascii="Times New Roman" w:hAnsi="Times New Roman"/>
          <w:b/>
          <w:i w:val="false"/>
          <w:color w:val="000000"/>
          <w:sz w:val="24"/>
        </w:rPr>
        <w:t xml:space="preserve">(234) </w:t>
      </w:r>
      <w:r>
        <w:rPr>
          <w:rFonts w:ascii="Times New Roman" w:hAnsi="Times New Roman"/>
          <w:b/>
          <w:i w:val="false"/>
          <w:color w:val="000000"/>
          <w:sz w:val="24"/>
        </w:rPr>
        <w:t xml:space="preserve">Services and supports provided. </w:t>
      </w:r>
      <w:r>
        <w:rPr>
          <w:rFonts w:ascii="Times New Roman" w:hAnsi="Times New Roman"/>
          <w:b w:val="false"/>
          <w:i w:val="false"/>
          <w:color w:val="000000"/>
          <w:sz w:val="24"/>
        </w:rPr>
        <w:t>The aftercare services program delivered by a provider contracted by the department shall provide the following services and supports to eligible youth.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187.2(1)</w:t>
      </w:r>
      <w:r>
        <w:rPr>
          <w:rFonts w:ascii="Times New Roman" w:hAnsi="Times New Roman"/>
          <w:b w:val="false"/>
          <w:i w:val="false"/>
          <w:color w:val="000000"/>
          <w:sz w:val="24"/>
        </w:rPr>
        <w:t> </w:t>
      </w:r>
      <w:r>
        <w:rPr>
          <w:rFonts w:ascii="Times New Roman" w:hAnsi="Times New Roman"/>
          <w:b w:val="false"/>
          <w:i/>
          <w:color w:val="000000"/>
          <w:sz w:val="24"/>
        </w:rPr>
        <w:t xml:space="preserve">Preservices. </w:t>
      </w:r>
      <w:r>
        <w:rPr>
          <w:rFonts w:ascii="Times New Roman" w:hAnsi="Times New Roman"/>
          <w:b w:val="false"/>
          <w:i w:val="false"/>
          <w:color w:val="000000"/>
          <w:sz w:val="24"/>
        </w:rPr>
        <w:t>Informational and trust-building activities may be provided to a youth placed out of home who is expected to participate in aftercare services at 18 years of age or older. The department may provide funds; however, funds provided to the youth in preservices will be deducted from available start-up funds in the youth’s first year of participation in core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187.2(2)</w:t>
      </w:r>
      <w:r>
        <w:rPr>
          <w:rFonts w:ascii="Times New Roman" w:hAnsi="Times New Roman"/>
          <w:b w:val="false"/>
          <w:i w:val="false"/>
          <w:color w:val="000000"/>
          <w:sz w:val="24"/>
        </w:rPr>
        <w:t> </w:t>
      </w:r>
      <w:r>
        <w:rPr>
          <w:rFonts w:ascii="Times New Roman" w:hAnsi="Times New Roman"/>
          <w:b w:val="false"/>
          <w:i/>
          <w:color w:val="000000"/>
          <w:sz w:val="24"/>
        </w:rPr>
        <w:t xml:space="preserve">Core services. </w:t>
      </w:r>
      <w:r>
        <w:rPr>
          <w:rFonts w:ascii="Times New Roman" w:hAnsi="Times New Roman"/>
          <w:b w:val="false"/>
          <w:i w:val="false"/>
          <w:color w:val="000000"/>
          <w:sz w:val="24"/>
        </w:rPr>
        <w:t>Case management services shall be offered to youth at a safe and convenient location. Activities shall include but are not limited to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Development of an individual self-sufficiency plan based on an assessment of the youth’s strengths and needs. Each core services participant shall have a plan to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youth’s goals for achieving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target date for reaching the goals;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tasks, responsible parties, time frames, and desired outcomes needed to reach the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to develop a budget and money management skills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to assist the youth in establishing or reestablishing relationships with significant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to facilitate the youth’s access to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Life skills training, as identified in the youth’s individual self-sufficiency plan. Life skills training shall include skills to help the youth in establishing and maintaining safe and stable housing, education goals, employment goals, health and health care coverage, healthy relationships, or other life skills that the youth may need to succeed independently.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Additional case management activities necessary for youth to successfully transition to adulthood and as described in the individual self-sufficiency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Individual face-to-face contact with the youth at the frequency defined in the youth’s individual self-sufficiency plan and according to the youth’s changing needs. If a youth is a resident of Iowa but is attending a postsecondary education program in another state, the program administrator or designee shall approve an alternative method for maintaining contact with the youth if or when it is a hardship for the youth to physically be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Ongoing assessment, including evaluation and coordination of the services, supports, and life skills training being provided to assist the youth in reaching self-sufficiency goals and to determine if and what progress is being made. The case manager shall amend any goals, outcomes, tasks, responsible parties, and time frames in the plan along with services, supports, and life skills training provided as necessary to assist the youth in achieving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187.2(3)</w:t>
      </w:r>
      <w:r>
        <w:rPr>
          <w:rFonts w:ascii="Times New Roman" w:hAnsi="Times New Roman"/>
          <w:b w:val="false"/>
          <w:i w:val="false"/>
          <w:color w:val="000000"/>
          <w:sz w:val="24"/>
        </w:rPr>
        <w:t> </w:t>
      </w:r>
      <w:r>
        <w:rPr>
          <w:rFonts w:ascii="Times New Roman" w:hAnsi="Times New Roman"/>
          <w:b w:val="false"/>
          <w:i/>
          <w:color w:val="000000"/>
          <w:sz w:val="24"/>
        </w:rPr>
        <w:t xml:space="preserve">Extended services. </w:t>
      </w:r>
      <w:r>
        <w:rPr>
          <w:rFonts w:ascii="Times New Roman" w:hAnsi="Times New Roman"/>
          <w:b w:val="false"/>
          <w:i w:val="false"/>
          <w:color w:val="000000"/>
          <w:sz w:val="24"/>
        </w:rPr>
        <w:t>Extended services may be provided to youth, and may include life skills training, periodic check-ins, referrals to needed services, limited payments to youth, or other services determined to be valuable to the youth’s development. Funds, limited to an annual per-participant amount identified in the contract, may be provided. Prior to receiving available funds, the youth is required to meet with the advocate and discuss the reason the youth is accessing funds and prior efforts to meet the need. The youth may also be asked to provide documentation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187.2(4)</w:t>
      </w:r>
      <w:r>
        <w:rPr>
          <w:rFonts w:ascii="Times New Roman" w:hAnsi="Times New Roman"/>
          <w:b w:val="false"/>
          <w:i w:val="false"/>
          <w:color w:val="000000"/>
          <w:sz w:val="24"/>
        </w:rPr>
        <w:t> </w:t>
      </w:r>
      <w:r>
        <w:rPr>
          <w:rFonts w:ascii="Times New Roman" w:hAnsi="Times New Roman"/>
          <w:b w:val="false"/>
          <w:i/>
          <w:color w:val="000000"/>
          <w:sz w:val="24"/>
        </w:rPr>
        <w:t xml:space="preserve">Start-up allowance. </w:t>
      </w:r>
      <w:r>
        <w:rPr>
          <w:rFonts w:ascii="Times New Roman" w:hAnsi="Times New Roman"/>
          <w:b w:val="false"/>
          <w:i w:val="false"/>
          <w:color w:val="000000"/>
          <w:sz w:val="24"/>
        </w:rPr>
        <w:t>When a youth between the ages of 17 and 21 is receiving or is expected to receive core services, and is actively participating in the program, the program administrator or designee may authorize and provide payment to a youth as described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start-up allowance is intended to assist in covering the initial costs of establishing the youth’s living arrangement, such as by paying rental or utility deposits, purchasing food, or purchasing necessary household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start-up allowance is limited to amounts designated in the contract.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187.2(5)</w:t>
      </w:r>
      <w:r>
        <w:rPr>
          <w:rFonts w:ascii="Times New Roman" w:hAnsi="Times New Roman"/>
          <w:b w:val="false"/>
          <w:i w:val="false"/>
          <w:color w:val="000000"/>
          <w:sz w:val="24"/>
        </w:rPr>
        <w:t> </w:t>
      </w:r>
      <w:r>
        <w:rPr>
          <w:rFonts w:ascii="Times New Roman" w:hAnsi="Times New Roman"/>
          <w:b w:val="false"/>
          <w:i/>
          <w:color w:val="000000"/>
          <w:sz w:val="24"/>
        </w:rPr>
        <w:t xml:space="preserve">Vendor payments. </w:t>
      </w:r>
      <w:r>
        <w:rPr>
          <w:rFonts w:ascii="Times New Roman" w:hAnsi="Times New Roman"/>
          <w:b w:val="false"/>
          <w:i w:val="false"/>
          <w:color w:val="000000"/>
          <w:sz w:val="24"/>
        </w:rPr>
        <w:t xml:space="preserve">When a youth qualifies for core services in accordance with subrule </w:t>
      </w:r>
      <w:hyperlink r:id="rId6">
        <w:r>
          <w:rPr>
            <w:rStyle w:val="Hyperlink"/>
            <w:rFonts w:ascii="Times New Roman" w:hAnsi="Times New Roman"/>
            <w:b w:val="false"/>
            <w:i w:val="false"/>
            <w:color w:val="000000"/>
            <w:sz w:val="24"/>
          </w:rPr>
          <w:t>187.3(2)</w:t>
        </w:r>
      </w:hyperlink>
      <w:r>
        <w:rPr>
          <w:rFonts w:ascii="Times New Roman" w:hAnsi="Times New Roman"/>
          <w:b w:val="false"/>
          <w:i w:val="false"/>
          <w:color w:val="000000"/>
          <w:sz w:val="24"/>
        </w:rPr>
        <w:t>, and is actively participating in the program, the program administrator or designee may authorize and provide payment to a youth as described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receive a vendor payment, the youth must demonstrate that there are no other means to meet the needs that would be covered by the vendor payment. The youth shall contribute toward the cost of meeting the identified need, to the extent the youth is able. A youth receiving a preparation for adult living (PAL) stipend, preservices, or extended services is not eligible for a vendor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Vendor payments may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Health care-related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Transportation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Costs related to employment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Clothing;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Room and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available for a 12-month period of service shall be noted in the contract.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187.2(6)</w:t>
      </w:r>
      <w:r>
        <w:rPr>
          <w:rFonts w:ascii="Times New Roman" w:hAnsi="Times New Roman"/>
          <w:b w:val="false"/>
          <w:i w:val="false"/>
          <w:color w:val="000000"/>
          <w:sz w:val="24"/>
        </w:rPr>
        <w:t> </w:t>
      </w:r>
      <w:r>
        <w:rPr>
          <w:rFonts w:ascii="Times New Roman" w:hAnsi="Times New Roman"/>
          <w:b w:val="false"/>
          <w:i/>
          <w:color w:val="000000"/>
          <w:sz w:val="24"/>
        </w:rPr>
        <w:t xml:space="preserve">PAL stipend. </w:t>
      </w:r>
      <w:r>
        <w:rPr>
          <w:rFonts w:ascii="Times New Roman" w:hAnsi="Times New Roman"/>
          <w:b w:val="false"/>
          <w:i w:val="false"/>
          <w:color w:val="000000"/>
          <w:sz w:val="24"/>
        </w:rPr>
        <w:t xml:space="preserve">When an eligible youth is actively participating in the program, the eligible youth may receive the PAL program services as described in Iowa Code section </w:t>
      </w:r>
      <w:hyperlink r:id="rId7">
        <w:r>
          <w:rPr>
            <w:rStyle w:val="Hyperlink"/>
            <w:rFonts w:ascii="Times New Roman" w:hAnsi="Times New Roman"/>
            <w:b w:val="false"/>
            <w:i w:val="false"/>
            <w:color w:val="000000"/>
            <w:sz w:val="24"/>
          </w:rPr>
          <w:t>234.46</w:t>
        </w:r>
      </w:hyperlink>
      <w:r>
        <w:rPr>
          <w:rFonts w:ascii="Times New Roman" w:hAnsi="Times New Roman"/>
          <w:b w:val="false"/>
          <w:i w:val="false"/>
          <w:color w:val="000000"/>
          <w:sz w:val="24"/>
        </w:rPr>
        <w:t xml:space="preserve"> and as follows: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receive the PAL stipend, the youth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Have met eligibility requirements in Iowa Code section </w:t>
      </w:r>
      <w:hyperlink r:id="rId8">
        <w:r>
          <w:rPr>
            <w:rStyle w:val="Hyperlink"/>
            <w:rFonts w:ascii="Times New Roman" w:hAnsi="Times New Roman"/>
            <w:b w:val="false"/>
            <w:i w:val="false"/>
            <w:color w:val="000000"/>
            <w:sz w:val="24"/>
          </w:rPr>
          <w:t>234.46(1)</w:t>
        </w:r>
      </w:hyperlink>
      <w:r>
        <w:rPr>
          <w:rFonts w:ascii="Times New Roman" w:hAnsi="Times New Roman"/>
          <w:b w:val="false"/>
          <w:i w:val="false"/>
          <w:color w:val="000000"/>
          <w:sz w:val="24"/>
        </w:rPr>
        <w:t xml:space="preserve"> upon reaching the age of 18 and meet eligibility requirements in rule </w:t>
      </w:r>
      <w:hyperlink r:id="rId9">
        <w:r>
          <w:rPr>
            <w:rStyle w:val="Hyperlink"/>
            <w:rFonts w:ascii="Times New Roman" w:hAnsi="Times New Roman"/>
            <w:b w:val="false"/>
            <w:i w:val="false"/>
            <w:color w:val="000000"/>
            <w:sz w:val="24"/>
          </w:rPr>
          <w:t>441—187.1</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Have exited foster care, the state training school, or a court-ordered Iowa juvenile detention center as identified by Iowa Code chapter </w:t>
      </w:r>
      <w:hyperlink r:id="rId10">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on or after the youth’s eighteenth birthday.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Meet one or more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enrolled in or actively pursuing enrollment in postsecondary education, a training program, or work training;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employed for 80 hours per month or be actively seeking that level of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attending an accredited school full-time pursuing a course of study leading to a high school diploma;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attending an instructional program leading to a high school equivalency diploma.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maximum monthly stipend shall be provided after completion of the youth’s budget. The maximum amounts provided to a youth shall be stated in the contract and based on program eligibility and guidelines,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monthly stipend shall be prorated based on the number of days of youth participation for those entering and exiting the program during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the monthly unearned income of the youth exceeds the overall maximum monthly stipend offered in the preparation for the adult living program, the youth is not eligible for payments unless unused startup funds remain.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 net earnings of the youth exceed the overall maximum monthly stipend offered in the PAL program, the monthly stipend is reduced by 50 cents for every dollar earned by the youth over the monthly maximum stipend.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earned and unearned income received by the youth during the 30 days before the determination shall be used to project future income. If the 30-day period is not indicative of future income, income from a longer period or verification of anticipated income from the income source may be used to project future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Nonrecurring lump-sum payments are excluded as income. Nonrecurring lump-sum payments can include one-time payments received for such things as income tax refunds, rebates, credits, refunds of security deposits on rental property or utilities, and retroactive payments for past months’ benefits such as social security, unemployment insurance, or public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youth shall timely report the beginning and ending of earned and unearned income. A report is considered timely when made within ten days from the receipt of income or the date income 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When the youth timely reports a change in income, the youth’s prospective eligibility and stipend amount for the following month shall be determined based on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Recoupment shall be made for any overpayment due to failure to timely report a change in income or for benefits paid during an administrative appeal if the department’s action is ultimately upheld. Recoupment may be made through a reasonable reduction of any future stipends.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Recoupment cannot be made when a youth timely reports a change in income and the change is timely acted upon.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stipend may be paid to the youth, the foster family, or another payee other than a department employee. The payee shall be agreed upon by the parties involved and specified in the individual self-sufficiency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maximum stipend may be based on the age of the youth.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187.2(7)</w:t>
      </w:r>
      <w:r>
        <w:rPr>
          <w:rFonts w:ascii="Times New Roman" w:hAnsi="Times New Roman"/>
          <w:b w:val="false"/>
          <w:i w:val="false"/>
          <w:color w:val="000000"/>
          <w:sz w:val="24"/>
        </w:rPr>
        <w:t> </w:t>
      </w:r>
      <w:r>
        <w:rPr>
          <w:rFonts w:ascii="Times New Roman" w:hAnsi="Times New Roman"/>
          <w:b w:val="false"/>
          <w:i/>
          <w:color w:val="000000"/>
          <w:sz w:val="24"/>
        </w:rPr>
        <w:t xml:space="preserve">Extended services allowance. </w:t>
      </w:r>
      <w:r>
        <w:rPr>
          <w:rFonts w:ascii="Times New Roman" w:hAnsi="Times New Roman"/>
          <w:b w:val="false"/>
          <w:i w:val="false"/>
          <w:color w:val="000000"/>
          <w:sz w:val="24"/>
        </w:rPr>
        <w:t>A youth 21 or 22 years of age may receive extended services funds if they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youth is participating in extended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budget discussion has been timely completed by the youth with a self-sufficiency advocate.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need has been identified in the individual self-sufficiency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extended services funds approved for the youth have not exceeded contracted amounts for a six-month period calculated from the date of initiation of extended services.</w:t>
      </w:r>
    </w:p>
    <w:p>
      <w:pPr>
        <w:spacing w:before="0" w:after="0" w:line="480"/>
        <w:ind w:left="120"/>
        <w:jc w:val="both"/>
      </w:pPr>
      <w:r>
        <w:rPr>
          <w:rFonts w:ascii="Times New Roman" w:hAnsi="Times New Roman"/>
          <w:b/>
          <w:i w:val="false"/>
          <w:color w:val="000000"/>
          <w:sz w:val="24"/>
        </w:rPr>
        <w:t>441—187.3</w:t>
      </w:r>
      <w:r>
        <w:rPr>
          <w:rFonts w:ascii="Times New Roman" w:hAnsi="Times New Roman"/>
          <w:b/>
          <w:i w:val="false"/>
          <w:color w:val="000000"/>
          <w:sz w:val="24"/>
        </w:rPr>
        <w:t xml:space="preserve">(234) </w:t>
      </w:r>
      <w:r>
        <w:rPr>
          <w:rFonts w:ascii="Times New Roman" w:hAnsi="Times New Roman"/>
          <w:b/>
          <w:i w:val="false"/>
          <w:color w:val="000000"/>
          <w:sz w:val="24"/>
        </w:rPr>
        <w:t xml:space="preserve">Termination of aftercare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187.3(1)</w:t>
      </w:r>
      <w:r>
        <w:rPr>
          <w:rFonts w:ascii="Times New Roman" w:hAnsi="Times New Roman"/>
          <w:b w:val="false"/>
          <w:i w:val="false"/>
          <w:color w:val="000000"/>
          <w:sz w:val="24"/>
        </w:rPr>
        <w:t> </w:t>
      </w:r>
      <w:r>
        <w:rPr>
          <w:rFonts w:ascii="Times New Roman" w:hAnsi="Times New Roman"/>
          <w:b w:val="false"/>
          <w:i w:val="false"/>
          <w:color w:val="000000"/>
          <w:sz w:val="24"/>
        </w:rPr>
        <w:t>A youth may be discharged from the aftercare services program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youth fails to follow individual self-sufficiency plan components and expectations as determined by the program administrator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youth fails to meet regularly with the self-sufficiency advocate without good cause as determined by the program administrator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youth voluntarily withdraws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youth is no longer a resident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youth has entered a residential services program and has resided there for 60 days. “Residential services program” means a program where housing and support services are provided, including but not limited to homeless shelters, habilitation homes or transitional living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youth reaches 23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187.3(2)</w:t>
      </w:r>
      <w:r>
        <w:rPr>
          <w:rFonts w:ascii="Times New Roman" w:hAnsi="Times New Roman"/>
          <w:b w:val="false"/>
          <w:i w:val="false"/>
          <w:color w:val="000000"/>
          <w:sz w:val="24"/>
        </w:rPr>
        <w:t> </w:t>
      </w:r>
      <w:r>
        <w:rPr>
          <w:rFonts w:ascii="Times New Roman" w:hAnsi="Times New Roman"/>
          <w:b w:val="false"/>
          <w:i w:val="false"/>
          <w:color w:val="000000"/>
          <w:sz w:val="24"/>
        </w:rPr>
        <w:t>Aftercare services and supports may be terminated for up to six months as determined by the program administrator or designee when a youth intentionally physically threatens or injures program staff or an employee of an aftercare provider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187.3(3)</w:t>
      </w:r>
      <w:r>
        <w:rPr>
          <w:rFonts w:ascii="Times New Roman" w:hAnsi="Times New Roman"/>
          <w:b w:val="false"/>
          <w:i w:val="false"/>
          <w:color w:val="000000"/>
          <w:sz w:val="24"/>
        </w:rPr>
        <w:t> </w:t>
      </w:r>
      <w:r>
        <w:rPr>
          <w:rFonts w:ascii="Times New Roman" w:hAnsi="Times New Roman"/>
          <w:b w:val="false"/>
          <w:i w:val="false"/>
          <w:color w:val="000000"/>
          <w:sz w:val="24"/>
        </w:rPr>
        <w:t>The PAL stipend may be suspended or terminated if the youth fails to meet work or education eligibility requirements for 30 consecutive days without good cause as determined by the program administrator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PAL stipend may be suspended or terminated if the youth fails to maintain satisfactory progress as defined by the education or training program in which the youth is enrolled. A youth who is not making satisfactory progress may stay in the PAL program component of the aftercare services program by choosing the work option.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187.3(5)</w:t>
      </w:r>
      <w:r>
        <w:rPr>
          <w:rFonts w:ascii="Times New Roman" w:hAnsi="Times New Roman"/>
          <w:b w:val="false"/>
          <w:i w:val="false"/>
          <w:color w:val="000000"/>
          <w:sz w:val="24"/>
        </w:rPr>
        <w:t> </w:t>
      </w:r>
      <w:r>
        <w:rPr>
          <w:rFonts w:ascii="Times New Roman" w:hAnsi="Times New Roman"/>
          <w:b w:val="false"/>
          <w:i w:val="false"/>
          <w:color w:val="000000"/>
          <w:sz w:val="24"/>
        </w:rPr>
        <w:t xml:space="preserve">The youth intentionally misrepresents income or expenditures or spends funds in a manner inconsistent with their intended purpose. The program administrator may request receipts or acceptable evidence that funds went to the intended purpose.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187.3(6)</w:t>
      </w:r>
      <w:r>
        <w:rPr>
          <w:rFonts w:ascii="Times New Roman" w:hAnsi="Times New Roman"/>
          <w:b w:val="false"/>
          <w:i w:val="false"/>
          <w:color w:val="000000"/>
          <w:sz w:val="24"/>
        </w:rPr>
        <w:t> </w:t>
      </w:r>
      <w:r>
        <w:rPr>
          <w:rFonts w:ascii="Times New Roman" w:hAnsi="Times New Roman"/>
          <w:b w:val="false"/>
          <w:i w:val="false"/>
          <w:color w:val="000000"/>
          <w:sz w:val="24"/>
        </w:rPr>
        <w:t>There are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187.3(7)</w:t>
      </w:r>
      <w:r>
        <w:rPr>
          <w:rFonts w:ascii="Times New Roman" w:hAnsi="Times New Roman"/>
          <w:b w:val="false"/>
          <w:i w:val="false"/>
          <w:color w:val="000000"/>
          <w:sz w:val="24"/>
        </w:rPr>
        <w:t> </w:t>
      </w:r>
      <w:r>
        <w:rPr>
          <w:rFonts w:ascii="Times New Roman" w:hAnsi="Times New Roman"/>
          <w:b w:val="false"/>
          <w:i w:val="false"/>
          <w:color w:val="000000"/>
          <w:sz w:val="24"/>
        </w:rPr>
        <w:t>Unless otherwise stated, a youth whose aftercare service is terminated in accordance with this rule may return to the program after a minimum of at least 30 days. However, if the youth has received three or more notices of termination within a 12-month period, the youth cannot return until at least three months have passed from the date of the third notification.</w:t>
      </w:r>
    </w:p>
    <w:p>
      <w:pPr>
        <w:spacing w:before="210" w:after="0" w:line="480"/>
        <w:ind w:left="120"/>
        <w:jc w:val="both"/>
      </w:pPr>
      <w:r>
        <w:rPr>
          <w:rFonts w:ascii="Times New Roman" w:hAnsi="Times New Roman"/>
          <w:b/>
          <w:i w:val="false"/>
          <w:color w:val="000000"/>
          <w:sz w:val="24"/>
        </w:rPr>
        <w:t>441—187.4</w:t>
      </w:r>
      <w:r>
        <w:rPr>
          <w:rFonts w:ascii="Times New Roman" w:hAnsi="Times New Roman"/>
          <w:b/>
          <w:i w:val="false"/>
          <w:color w:val="000000"/>
          <w:sz w:val="24"/>
        </w:rPr>
        <w:t xml:space="preserve">(234) </w:t>
      </w:r>
      <w:r>
        <w:rPr>
          <w:rFonts w:ascii="Times New Roman" w:hAnsi="Times New Roman"/>
          <w:b/>
          <w:i w:val="false"/>
          <w:color w:val="000000"/>
          <w:sz w:val="24"/>
        </w:rPr>
        <w:t xml:space="preserve">Waiting list. </w:t>
      </w:r>
      <w:r>
        <w:rPr>
          <w:rFonts w:ascii="Times New Roman" w:hAnsi="Times New Roman"/>
          <w:b w:val="false"/>
          <w:i w:val="false"/>
          <w:color w:val="000000"/>
          <w:sz w:val="24"/>
        </w:rPr>
        <w:t xml:space="preserve">The program administrator or designee shall create a waiting list when all funds for the aftercare services program are committed for the fiscal year. Names will be entered on the waiting list on a first-come, first-served basis once the youth is determined eligible. </w:t>
      </w:r>
    </w:p>
    <w:p>
      <w:pPr>
        <w:spacing w:before="210" w:after="0" w:line="480"/>
        <w:ind w:left="120"/>
        <w:jc w:val="both"/>
      </w:pPr>
      <w:r>
        <w:rPr>
          <w:rFonts w:ascii="Times New Roman" w:hAnsi="Times New Roman"/>
          <w:b/>
          <w:i w:val="false"/>
          <w:color w:val="000000"/>
          <w:sz w:val="24"/>
        </w:rPr>
        <w:t>441—187.5</w:t>
      </w:r>
      <w:r>
        <w:rPr>
          <w:rFonts w:ascii="Times New Roman" w:hAnsi="Times New Roman"/>
          <w:b/>
          <w:i w:val="false"/>
          <w:color w:val="000000"/>
          <w:sz w:val="24"/>
        </w:rPr>
        <w:t xml:space="preserve">(234) </w:t>
      </w:r>
      <w:r>
        <w:rPr>
          <w:rFonts w:ascii="Times New Roman" w:hAnsi="Times New Roman"/>
          <w:b/>
          <w:i w:val="false"/>
          <w:color w:val="000000"/>
          <w:sz w:val="24"/>
        </w:rPr>
        <w:t xml:space="preserve">Administration. </w:t>
      </w:r>
      <w:r>
        <w:rPr>
          <w:rFonts w:ascii="Times New Roman" w:hAnsi="Times New Roman"/>
          <w:b w:val="false"/>
          <w:i w:val="false"/>
          <w:color w:val="000000"/>
          <w:sz w:val="24"/>
        </w:rPr>
        <w:t xml:space="preserve">The department may contract with another state agency or a private organization to perform the administrative and case management functions necessary to administer the aftercare services program. </w:t>
      </w:r>
    </w:p>
    <w:p>
      <w:pPr>
        <w:spacing w:before="210" w:after="0" w:line="480"/>
        <w:ind w:left="120"/>
        <w:jc w:val="both"/>
      </w:pPr>
      <w:r>
        <w:rPr>
          <w:rFonts w:ascii="Times New Roman" w:hAnsi="Times New Roman"/>
          <w:b/>
          <w:i w:val="false"/>
          <w:color w:val="000000"/>
          <w:sz w:val="24"/>
        </w:rPr>
        <w:t>441—187.6</w:t>
      </w:r>
      <w:r>
        <w:rPr>
          <w:rFonts w:ascii="Times New Roman" w:hAnsi="Times New Roman"/>
          <w:b/>
          <w:i w:val="false"/>
          <w:color w:val="000000"/>
          <w:sz w:val="24"/>
        </w:rPr>
        <w:t xml:space="preserve">(234) </w:t>
      </w:r>
      <w:r>
        <w:rPr>
          <w:rFonts w:ascii="Times New Roman" w:hAnsi="Times New Roman"/>
          <w:b/>
          <w:i w:val="false"/>
          <w:color w:val="000000"/>
          <w:sz w:val="24"/>
        </w:rPr>
        <w:t xml:space="preserve">Appeal. </w:t>
      </w:r>
      <w:r>
        <w:rPr>
          <w:rFonts w:ascii="Times New Roman" w:hAnsi="Times New Roman"/>
          <w:b w:val="false"/>
          <w:i w:val="false"/>
          <w:color w:val="000000"/>
          <w:sz w:val="24"/>
        </w:rPr>
        <w:t xml:space="preserve">Notice of adverse action taken by the department shall be issued in accordance with </w:t>
      </w:r>
      <w:hyperlink r:id="rId11">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the right to appeal shall be given in accordance with </w:t>
      </w:r>
      <w:hyperlink r:id="rId1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234.46</w:t>
        </w:r>
      </w:hyperlink>
      <w:r>
        <w:rPr>
          <w:rFonts w:ascii="Times New Roman" w:hAnsi="Times New Roman"/>
          <w:b w:val="false"/>
          <w:i w:val="false"/>
          <w:color w:val="000000"/>
          <w:sz w:val="24"/>
        </w:rPr>
        <w:t xml:space="preserve"> and the Foster Care Independence Act of 1999 as amended to August 1, 2026.</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187.3.pdf" Type="http://schemas.openxmlformats.org/officeDocument/2006/relationships/hyperlink" Id="rId6"/>
    <Relationship TargetMode="External" Target="https://www.legis.iowa.gov/docs/ico/chapter/234.46.pdf" Type="http://schemas.openxmlformats.org/officeDocument/2006/relationships/hyperlink" Id="rId7"/>
    <Relationship TargetMode="External" Target="https://www.legis.iowa.gov/docs/ico/chapter/234.46.pdf" Type="http://schemas.openxmlformats.org/officeDocument/2006/relationships/hyperlink" Id="rId8"/>
    <Relationship TargetMode="External" Target="https://www.legis.iowa.gov/docs/iac/rule/441.187.1.pdf" Type="http://schemas.openxmlformats.org/officeDocument/2006/relationships/hyperlink" Id="rId9"/>
    <Relationship TargetMode="External" Target="https://www.legis.iowa.gov/docs/ico/chapter/232.pdf" Type="http://schemas.openxmlformats.org/officeDocument/2006/relationships/hyperlink" Id="rId10"/>
    <Relationship TargetMode="External" Target="https://www.legis.iowa.gov/docs/iac/chapter/441.16.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co/chapter/234.46.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