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65D" w:id="1"/>
    <w:p>
      <w:pPr>
        <w:spacing w:before="0" w:after="0" w:line="480"/>
        <w:ind w:left="120"/>
        <w:jc w:val="right"/>
      </w:pPr>
      <w:r>
        <w:rPr>
          <w:rFonts w:ascii="Times New Roman" w:hAnsi="Times New Roman"/>
          <w:b/>
          <w:i w:val="false"/>
          <w:color w:val="000000"/>
          <w:sz w:val="28"/>
        </w:rPr>
        <w:t>ARC 0565D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residential facilities for children with an intellectual disability or brain injury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116, “Licensing and Regulation of Residential Facilities for Children with an Intellectual Disability or Brain Injury,” Iowa Administrative Code, and to adopt a new Chapter 116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237.3.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237.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a part of the Red Tape Review process laid out by Executive Order 10. Through the review, restrictive terms were removed, duplicative information was streamlined, and language was changed to be in line with modern procedures and practices. This proposed chapter relates specifically to the licensing and regulation of residential facilities serving children with an intellectual disability or a brain injury.</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211 532 914 792 67</w:t>
            </w:r>
            <w:r>
              <w:br/>
            </w:r>
            <w:r>
              <w:rPr>
                <w:rFonts w:ascii="Times New Roman" w:hAnsi="Times New Roman"/>
                <w:b w:val="false"/>
                <w:i w:val="false"/>
                <w:color w:val="000000"/>
                <w:sz w:val="14"/>
              </w:rPr>
              <w:t xml:space="preserve"> Passcode: 94Ve93DX </w:t>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298 652 447 812 351</w:t>
            </w:r>
            <w:r>
              <w:br/>
            </w:r>
            <w:r>
              <w:rPr>
                <w:rFonts w:ascii="Times New Roman" w:hAnsi="Times New Roman"/>
                <w:b w:val="false"/>
                <w:i w:val="false"/>
                <w:color w:val="000000"/>
                <w:sz w:val="14"/>
              </w:rPr>
              <w:t xml:space="preserve"> Passcode: GU7FC9wR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116</w:t>
      </w:r>
    </w:p>
    <w:p>
      <w:pPr>
        <w:spacing w:before="0" w:after="0" w:line="480"/>
        <w:ind w:left="120"/>
        <w:jc w:val="center"/>
      </w:pPr>
      <w:r>
        <w:rPr>
          <w:rFonts w:ascii="Times New Roman" w:hAnsi="Times New Roman"/>
          <w:b w:val="false"/>
          <w:i w:val="false"/>
          <w:color w:val="000000"/>
          <w:sz w:val="21"/>
        </w:rPr>
        <w:t>LICENSING AND REGULATION OF RESIDENTIAL FACILITIES FOR CHILDREN WITH AN INTELLECTUAL DISABILITY OR BRAIN INJURY</w:t>
      </w:r>
    </w:p>
    <w:p>
      <w:pPr>
        <w:spacing w:before="0" w:after="0" w:line="480"/>
        <w:ind w:left="120"/>
        <w:jc w:val="both"/>
      </w:pPr>
      <w:r>
        <w:rPr>
          <w:rFonts w:ascii="Times New Roman" w:hAnsi="Times New Roman"/>
          <w:b/>
          <w:i w:val="false"/>
          <w:color w:val="000000"/>
          <w:sz w:val="24"/>
        </w:rPr>
        <w:t>441—116.1</w:t>
      </w:r>
      <w:r>
        <w:rPr>
          <w:rFonts w:ascii="Times New Roman" w:hAnsi="Times New Roman"/>
          <w:b/>
          <w:i w:val="false"/>
          <w:color w:val="000000"/>
          <w:sz w:val="24"/>
        </w:rPr>
        <w:t xml:space="preserve">(237)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“Caseworker”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hyperlink r:id="rId6">
        <w:r>
          <w:rPr>
            <w:rStyle w:val="Hyperlink"/>
            <w:rFonts w:ascii="Times New Roman" w:hAnsi="Times New Roman"/>
            <w:b w:val="false"/>
            <w:i w:val="false"/>
            <w:color w:val="000000"/>
            <w:sz w:val="24"/>
          </w:rPr>
          <w:t>441—Chapter 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“Casework supervisor”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hyperlink r:id="rId7">
        <w:r>
          <w:rPr>
            <w:rStyle w:val="Hyperlink"/>
            <w:rFonts w:ascii="Times New Roman" w:hAnsi="Times New Roman"/>
            <w:b w:val="false"/>
            <w:i w:val="false"/>
            <w:color w:val="000000"/>
            <w:sz w:val="24"/>
          </w:rPr>
          <w:t>441—Chapter 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worker”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rule </w:t>
      </w:r>
      <w:hyperlink r:id="rId8">
        <w:r>
          <w:rPr>
            <w:rStyle w:val="Hyperlink"/>
            <w:rFonts w:ascii="Times New Roman" w:hAnsi="Times New Roman"/>
            <w:b w:val="false"/>
            <w:i w:val="false"/>
            <w:color w:val="000000"/>
            <w:sz w:val="24"/>
          </w:rPr>
          <w:t>441—114.2</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residential facility for children with an intellectual disability or brain injury”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a community residential facility as defined in rule </w:t>
      </w:r>
      <w:hyperlink r:id="rId9">
        <w:r>
          <w:rPr>
            <w:rStyle w:val="Hyperlink"/>
            <w:rFonts w:ascii="Times New Roman" w:hAnsi="Times New Roman"/>
            <w:b w:val="false"/>
            <w:i w:val="false"/>
            <w:color w:val="000000"/>
            <w:sz w:val="24"/>
          </w:rPr>
          <w:t>441—114.2</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“Comprehensive residential facility for children with an intellectual disability or brain injury”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comprehensive residential facility as defined in rule </w:t>
      </w:r>
      <w:hyperlink r:id="rId10">
        <w:r>
          <w:rPr>
            <w:rStyle w:val="Hyperlink"/>
            <w:rFonts w:ascii="Times New Roman" w:hAnsi="Times New Roman"/>
            <w:b w:val="false"/>
            <w:i w:val="false"/>
            <w:color w:val="000000"/>
            <w:sz w:val="24"/>
          </w:rPr>
          <w:t>441—115.2</w:t>
        </w:r>
      </w:hyperlink>
      <w:r>
        <w:rPr>
          <w:rFonts w:ascii="Times New Roman" w:hAnsi="Times New Roman"/>
          <w:b w:val="false"/>
          <w:i w:val="false"/>
          <w:color w:val="000000"/>
          <w:sz w:val="24"/>
        </w:rPr>
        <w:t xml:space="preserve">(237).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“Direct-service provider”</w:t>
      </w:r>
      <w:r>
        <w:rPr>
          <w:rFonts w:ascii="Times New Roman" w:hAnsi="Times New Roman"/>
          <w:b w:val="false"/>
          <w:i w:val="false"/>
          <w:color w:val="000000"/>
          <w:sz w:val="24"/>
        </w:rPr>
        <w:t> </w:t>
      </w:r>
      <w:r>
        <w:rPr>
          <w:rFonts w:ascii="Times New Roman" w:hAnsi="Times New Roman"/>
          <w:b w:val="false"/>
          <w:i w:val="false"/>
          <w:color w:val="000000"/>
          <w:sz w:val="24"/>
        </w:rPr>
        <w:t>means any employee of an agency whose primary responsibility is the care and programming of the children through direct interactions.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“Indirect-service provider”</w:t>
      </w:r>
      <w:r>
        <w:rPr>
          <w:rFonts w:ascii="Times New Roman" w:hAnsi="Times New Roman"/>
          <w:b w:val="false"/>
          <w:i w:val="false"/>
          <w:color w:val="000000"/>
          <w:sz w:val="24"/>
        </w:rPr>
        <w:t> </w:t>
      </w:r>
      <w:r>
        <w:rPr>
          <w:rFonts w:ascii="Times New Roman" w:hAnsi="Times New Roman"/>
          <w:b w:val="false"/>
          <w:i w:val="false"/>
          <w:color w:val="000000"/>
          <w:sz w:val="24"/>
        </w:rPr>
        <w:t>means an employee of an agency who supervises, coordinates and administers employees and program components.</w:t>
      </w:r>
    </w:p>
    <w:p>
      <w:pPr>
        <w:spacing w:before="0" w:after="0" w:line="480"/>
        <w:ind w:left="120"/>
        <w:jc w:val="both"/>
      </w:pPr>
      <w:r>
        <w:rPr>
          <w:rFonts w:ascii="Times New Roman" w:hAnsi="Times New Roman"/>
          <w:b/>
          <w:i w:val="false"/>
          <w:color w:val="000000"/>
          <w:sz w:val="24"/>
        </w:rPr>
        <w:t>441—116.2</w:t>
      </w:r>
      <w:r>
        <w:rPr>
          <w:rFonts w:ascii="Times New Roman" w:hAnsi="Times New Roman"/>
          <w:b/>
          <w:i w:val="false"/>
          <w:color w:val="000000"/>
          <w:sz w:val="24"/>
        </w:rPr>
        <w:t xml:space="preserve">(237) </w:t>
      </w:r>
      <w:r>
        <w:rPr>
          <w:rFonts w:ascii="Times New Roman" w:hAnsi="Times New Roman"/>
          <w:b/>
          <w:i w:val="false"/>
          <w:color w:val="000000"/>
          <w:sz w:val="24"/>
        </w:rPr>
        <w:t xml:space="preserve">Qualifications of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116.2(1)</w:t>
      </w:r>
      <w:r>
        <w:rPr>
          <w:rFonts w:ascii="Times New Roman" w:hAnsi="Times New Roman"/>
          <w:b w:val="false"/>
          <w:i w:val="false"/>
          <w:color w:val="000000"/>
          <w:sz w:val="24"/>
        </w:rPr>
        <w:t> </w:t>
      </w:r>
      <w:r>
        <w:rPr>
          <w:rFonts w:ascii="Times New Roman" w:hAnsi="Times New Roman"/>
          <w:b w:val="false"/>
          <w:i/>
          <w:color w:val="000000"/>
          <w:sz w:val="24"/>
        </w:rPr>
        <w:t xml:space="preserve">Direct-service providers. </w:t>
      </w:r>
      <w:r>
        <w:rPr>
          <w:rFonts w:ascii="Times New Roman" w:hAnsi="Times New Roman"/>
          <w:b w:val="false"/>
          <w:i w:val="false"/>
          <w:color w:val="000000"/>
          <w:sz w:val="24"/>
        </w:rPr>
        <w:t>Direct-service providers shall be paraprofessionals or professionals meeting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Paraprofessionals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graduated from high school or earned a high school equivalency degree.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completed the prescribed agency training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appropriate to the specific job description of the employing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Professionals in the direct-service provider category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 bachelor of arts degree in a related field; or an associate of arts degree in a related field and two years’ experience specific to the job responsibilities; or two years of higher education in a related field and two years’ experience specific to job responsibilities; or four years’ experience in programming specific to job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completed the prescribed agency training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appropriate to the specific job description of the employing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116.2(2)</w:t>
      </w:r>
      <w:r>
        <w:rPr>
          <w:rFonts w:ascii="Times New Roman" w:hAnsi="Times New Roman"/>
          <w:b w:val="false"/>
          <w:i w:val="false"/>
          <w:color w:val="000000"/>
          <w:sz w:val="24"/>
        </w:rPr>
        <w:t> </w:t>
      </w:r>
      <w:r>
        <w:rPr>
          <w:rFonts w:ascii="Times New Roman" w:hAnsi="Times New Roman"/>
          <w:b w:val="false"/>
          <w:i/>
          <w:color w:val="000000"/>
          <w:sz w:val="24"/>
        </w:rPr>
        <w:t xml:space="preserve">Indirect-service providers. </w:t>
      </w:r>
      <w:r>
        <w:rPr>
          <w:rFonts w:ascii="Times New Roman" w:hAnsi="Times New Roman"/>
          <w:b w:val="false"/>
          <w:i w:val="false"/>
          <w:color w:val="000000"/>
          <w:sz w:val="24"/>
        </w:rPr>
        <w:t>Indirect-service providers shall meet one of the following education and experience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Have a master of social work degree or a master of arts degree in a related field and one year of experience specific to job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a bachelor of arts degree in a related field and two years’ experience specific to job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an associate of arts degree in a related field and four years’ experience specific to job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Have five years’ specific treatment program experience relating to the job responsibilities.</w:t>
      </w:r>
    </w:p>
    <w:p>
      <w:pPr>
        <w:spacing w:before="210" w:after="0" w:line="480"/>
        <w:ind w:left="120"/>
        <w:jc w:val="both"/>
      </w:pPr>
      <w:r>
        <w:rPr>
          <w:rFonts w:ascii="Times New Roman" w:hAnsi="Times New Roman"/>
          <w:b/>
          <w:i w:val="false"/>
          <w:color w:val="000000"/>
          <w:sz w:val="24"/>
        </w:rPr>
        <w:t>441—116.3</w:t>
      </w:r>
      <w:r>
        <w:rPr>
          <w:rFonts w:ascii="Times New Roman" w:hAnsi="Times New Roman"/>
          <w:b/>
          <w:i w:val="false"/>
          <w:color w:val="000000"/>
          <w:sz w:val="24"/>
        </w:rPr>
        <w:t xml:space="preserve">(237) </w:t>
      </w:r>
      <w:r>
        <w:rPr>
          <w:rFonts w:ascii="Times New Roman" w:hAnsi="Times New Roman"/>
          <w:b/>
          <w:i w:val="false"/>
          <w:color w:val="000000"/>
          <w:sz w:val="24"/>
        </w:rPr>
        <w:t xml:space="preserve">Staff-to-client ratio. </w:t>
      </w:r>
      <w:r>
        <w:rPr>
          <w:rFonts w:ascii="Times New Roman" w:hAnsi="Times New Roman"/>
          <w:b w:val="false"/>
          <w:i w:val="false"/>
          <w:color w:val="000000"/>
          <w:sz w:val="24"/>
        </w:rPr>
        <w:t>The number and qualifications of the staff will vary depending on the needs of the children. There shall be at least a one-to-four staff-to-client ratio during prime programming time.</w:t>
      </w:r>
    </w:p>
    <w:p>
      <w:pPr>
        <w:spacing w:before="210" w:after="0" w:line="480"/>
        <w:ind w:left="120"/>
        <w:jc w:val="both"/>
      </w:pPr>
      <w:r>
        <w:rPr>
          <w:rFonts w:ascii="Times New Roman" w:hAnsi="Times New Roman"/>
          <w:b/>
          <w:i w:val="false"/>
          <w:color w:val="000000"/>
          <w:sz w:val="24"/>
        </w:rPr>
        <w:t>441—116.4</w:t>
      </w:r>
      <w:r>
        <w:rPr>
          <w:rFonts w:ascii="Times New Roman" w:hAnsi="Times New Roman"/>
          <w:b/>
          <w:i w:val="false"/>
          <w:color w:val="000000"/>
          <w:sz w:val="24"/>
        </w:rPr>
        <w:t xml:space="preserve">(237) </w:t>
      </w:r>
      <w:r>
        <w:rPr>
          <w:rFonts w:ascii="Times New Roman" w:hAnsi="Times New Roman"/>
          <w:b/>
          <w:i w:val="false"/>
          <w:color w:val="000000"/>
          <w:sz w:val="24"/>
        </w:rPr>
        <w:t xml:space="preserve">Program components. </w:t>
      </w:r>
      <w:r>
        <w:rPr>
          <w:rFonts w:ascii="Times New Roman" w:hAnsi="Times New Roman"/>
          <w:b w:val="false"/>
          <w:i w:val="false"/>
          <w:color w:val="000000"/>
          <w:sz w:val="24"/>
        </w:rPr>
        <w:t xml:space="preserve">In addition to the requirements of </w:t>
      </w:r>
      <w:hyperlink r:id="rId11">
        <w:r>
          <w:rPr>
            <w:rStyle w:val="Hyperlink"/>
            <w:rFonts w:ascii="Times New Roman" w:hAnsi="Times New Roman"/>
            <w:b w:val="false"/>
            <w:i w:val="false"/>
            <w:color w:val="000000"/>
            <w:sz w:val="24"/>
          </w:rPr>
          <w:t>441—subrule 114.8(3)</w:t>
        </w:r>
      </w:hyperlink>
      <w:r>
        <w:rPr>
          <w:rFonts w:ascii="Times New Roman" w:hAnsi="Times New Roman"/>
          <w:b w:val="false"/>
          <w:i w:val="false"/>
          <w:color w:val="000000"/>
          <w:sz w:val="24"/>
        </w:rPr>
        <w:t>, the facility shall have and follow a written procedure that defines who is responsible for overseeing personal hygiene of children and maintaining general orderliness of the facility.</w:t>
      </w:r>
    </w:p>
    <w:p>
      <w:pPr>
        <w:spacing w:before="210" w:after="0" w:line="480"/>
        <w:ind w:left="120"/>
        <w:jc w:val="both"/>
      </w:pPr>
      <w:r>
        <w:rPr>
          <w:rFonts w:ascii="Times New Roman" w:hAnsi="Times New Roman"/>
          <w:b/>
          <w:i w:val="false"/>
          <w:color w:val="000000"/>
          <w:sz w:val="24"/>
        </w:rPr>
        <w:t>441—116.5</w:t>
      </w:r>
      <w:r>
        <w:rPr>
          <w:rFonts w:ascii="Times New Roman" w:hAnsi="Times New Roman"/>
          <w:b/>
          <w:i w:val="false"/>
          <w:color w:val="000000"/>
          <w:sz w:val="24"/>
        </w:rPr>
        <w:t xml:space="preserve">(237) </w:t>
      </w:r>
      <w:r>
        <w:rPr>
          <w:rFonts w:ascii="Times New Roman" w:hAnsi="Times New Roman"/>
          <w:b/>
          <w:i w:val="false"/>
          <w:color w:val="000000"/>
          <w:sz w:val="24"/>
        </w:rPr>
        <w:t xml:space="preserve">Restraint. </w:t>
      </w:r>
      <w:r>
        <w:rPr>
          <w:rFonts w:ascii="Times New Roman" w:hAnsi="Times New Roman"/>
          <w:b w:val="false"/>
          <w:i w:val="false"/>
          <w:color w:val="000000"/>
          <w:sz w:val="24"/>
        </w:rPr>
        <w:t xml:space="preserve">In addition to the provisions of 441—Chapters </w:t>
      </w:r>
      <w:hyperlink r:id="rId12">
        <w:r>
          <w:rPr>
            <w:rStyle w:val="Hyperlink"/>
            <w:rFonts w:ascii="Times New Roman" w:hAnsi="Times New Roman"/>
            <w:b w:val="false"/>
            <w:i w:val="false"/>
            <w:color w:val="000000"/>
            <w:sz w:val="24"/>
          </w:rPr>
          <w:t>114</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115</w:t>
        </w:r>
      </w:hyperlink>
      <w:r>
        <w:rPr>
          <w:rFonts w:ascii="Times New Roman" w:hAnsi="Times New Roman"/>
          <w:b w:val="false"/>
          <w:i w:val="false"/>
          <w:color w:val="000000"/>
          <w:sz w:val="24"/>
        </w:rPr>
        <w:t>, a restraint may be used as stated in the child’s individual service plan as approved by the parent or guardian, caseworker, and facility as long as that facility meets the standards for utilizing that particular type of restraint.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4">
        <w:r>
          <w:rPr>
            <w:rStyle w:val="Hyperlink"/>
            <w:rFonts w:ascii="Times New Roman" w:hAnsi="Times New Roman"/>
            <w:b w:val="false"/>
            <w:i w:val="false"/>
            <w:color w:val="000000"/>
            <w:sz w:val="24"/>
          </w:rPr>
          <w:t>237</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441.114.pdf" Type="http://schemas.openxmlformats.org/officeDocument/2006/relationships/hyperlink" Id="rId6"/>
    <Relationship TargetMode="External" Target="https://www.legis.iowa.gov/docs/iac/chapter/441.114.pdf" Type="http://schemas.openxmlformats.org/officeDocument/2006/relationships/hyperlink" Id="rId7"/>
    <Relationship TargetMode="External" Target="https://www.legis.iowa.gov/docs/iac/rule/441.114.2.pdf" Type="http://schemas.openxmlformats.org/officeDocument/2006/relationships/hyperlink" Id="rId8"/>
    <Relationship TargetMode="External" Target="https://www.legis.iowa.gov/docs/iac/rule/441.114.2.pdf" Type="http://schemas.openxmlformats.org/officeDocument/2006/relationships/hyperlink" Id="rId9"/>
    <Relationship TargetMode="External" Target="https://www.legis.iowa.gov/docs/iac/rule/441.115.2.pdf" Type="http://schemas.openxmlformats.org/officeDocument/2006/relationships/hyperlink" Id="rId10"/>
    <Relationship TargetMode="External" Target="https://www.legis.iowa.gov/docs/iac/rule/441.114.8.pdf" Type="http://schemas.openxmlformats.org/officeDocument/2006/relationships/hyperlink" Id="rId11"/>
    <Relationship TargetMode="External" Target="https://www.legis.iowa.gov/docs/iac/chapter/441.114.pdf" Type="http://schemas.openxmlformats.org/officeDocument/2006/relationships/hyperlink" Id="rId12"/>
    <Relationship TargetMode="External" Target="https://www.legis.iowa.gov/docs/iac/chapter/441.115.pdf" Type="http://schemas.openxmlformats.org/officeDocument/2006/relationships/hyperlink" Id="rId13"/>
    <Relationship TargetMode="External" Target="https://www.legis.iowa.gov/docs/ico/chapter/237.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