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63D" w:id="1"/>
    <w:p>
      <w:pPr>
        <w:spacing w:before="0" w:after="0" w:line="480"/>
        <w:ind w:left="120"/>
        <w:jc w:val="right"/>
      </w:pPr>
      <w:r>
        <w:rPr>
          <w:rFonts w:ascii="Times New Roman" w:hAnsi="Times New Roman"/>
          <w:b/>
          <w:i w:val="false"/>
          <w:color w:val="000000"/>
          <w:sz w:val="28"/>
        </w:rPr>
        <w:t>ARC 0563D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funding for local services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153, “Funding for Local Services,” Iowa Administrative Code, and to adopt a new Chapter 153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218.4 and 234.6.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234.6.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as a part of the Red Tape Review process laid out by Executive Order 10. As a result of the Red Tape Review for this chapter, restrictive terms were removed, duplicative information was streamlined, and language was changed to be in line with modern procedures and practices. This proposed chapter sets forth the requirements for reporting required for receipt of federal Social Services Block Grant (SSBG) funds and service availability and allocation methodology related to those funds.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5,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25,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211 532 914 792 67</w:t>
            </w:r>
            <w:r>
              <w:br/>
            </w:r>
            <w:r>
              <w:rPr>
                <w:rFonts w:ascii="Times New Roman" w:hAnsi="Times New Roman"/>
                <w:b w:val="false"/>
                <w:i w:val="false"/>
                <w:color w:val="000000"/>
                <w:sz w:val="14"/>
              </w:rPr>
              <w:t xml:space="preserve"> Passcode: 94Ve93DX </w:t>
            </w:r>
          </w:p>
        </w:tc>
      </w:tr>
      <w:tr>
        <w:trPr>
          <w:trHeight w:val="63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298 652 447 812 351</w:t>
            </w:r>
            <w:r>
              <w:br/>
            </w:r>
            <w:r>
              <w:rPr>
                <w:rFonts w:ascii="Times New Roman" w:hAnsi="Times New Roman"/>
                <w:b w:val="false"/>
                <w:i w:val="false"/>
                <w:color w:val="000000"/>
                <w:sz w:val="14"/>
              </w:rPr>
              <w:t xml:space="preserve"> Passcode: GU7FC9wR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153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153</w:t>
      </w:r>
    </w:p>
    <w:p>
      <w:pPr>
        <w:spacing w:before="0" w:after="0" w:line="480"/>
        <w:ind w:left="120"/>
        <w:jc w:val="center"/>
      </w:pPr>
      <w:r>
        <w:rPr>
          <w:rFonts w:ascii="Times New Roman" w:hAnsi="Times New Roman"/>
          <w:b w:val="false"/>
          <w:i w:val="false"/>
          <w:color w:val="000000"/>
          <w:sz w:val="21"/>
        </w:rPr>
        <w:t>FUNDING FOR LOCAL SERVICES</w:t>
      </w:r>
    </w:p>
    <w:p>
      <w:pPr>
        <w:spacing w:before="0" w:after="0" w:line="480"/>
        <w:ind w:left="120"/>
        <w:jc w:val="both"/>
      </w:pPr>
      <w:r>
        <w:rPr>
          <w:rFonts w:ascii="Times New Roman" w:hAnsi="Times New Roman"/>
          <w:b/>
          <w:i w:val="false"/>
          <w:color w:val="000000"/>
          <w:sz w:val="24"/>
        </w:rPr>
        <w:t>441—153.1</w:t>
      </w:r>
      <w:r>
        <w:rPr>
          <w:rFonts w:ascii="Times New Roman" w:hAnsi="Times New Roman"/>
          <w:b/>
          <w:i w:val="false"/>
          <w:color w:val="000000"/>
          <w:sz w:val="24"/>
        </w:rPr>
        <w:t xml:space="preserve">(234) </w:t>
      </w:r>
      <w:r>
        <w:rPr>
          <w:rFonts w:ascii="Times New Roman" w:hAnsi="Times New Roman"/>
          <w:b/>
          <w:i w:val="false"/>
          <w:color w:val="000000"/>
          <w:sz w:val="24"/>
        </w:rPr>
        <w:t xml:space="preserve">Development of pre-expenditure report and intended use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153.1(1)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develop the social services block grant pre-expenditure report and intended use plan on an annual basis. The report and plan will be developed in accordance with </w:t>
      </w:r>
      <w:r>
        <w:rPr>
          <w:rFonts w:ascii="Times New Roman" w:hAnsi="Times New Roman"/>
          <w:b w:val="false"/>
          <w:i w:val="false"/>
          <w:color w:val="000000"/>
          <w:sz w:val="24"/>
        </w:rPr>
        <w:t>45 CFR Part 96</w:t>
      </w:r>
      <w:r>
        <w:rPr>
          <w:rFonts w:ascii="Times New Roman" w:hAnsi="Times New Roman"/>
          <w:b w:val="false"/>
          <w:i w:val="false"/>
          <w:color w:val="000000"/>
          <w:sz w:val="24"/>
        </w:rPr>
        <w:t>, Subpart G, as amended to August 1, 2026. The report and plan will describe the services to be funded, the areas in which services are available, and the amount of funding available. The plan will also indicate the source of the funding.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153.1(2)</w:t>
      </w:r>
      <w:r>
        <w:rPr>
          <w:rFonts w:ascii="Times New Roman" w:hAnsi="Times New Roman"/>
          <w:b w:val="false"/>
          <w:i w:val="false"/>
          <w:color w:val="000000"/>
          <w:sz w:val="24"/>
        </w:rPr>
        <w:t> </w:t>
      </w:r>
      <w:r>
        <w:rPr>
          <w:rFonts w:ascii="Times New Roman" w:hAnsi="Times New Roman"/>
          <w:b w:val="false"/>
          <w:i w:val="false"/>
          <w:color w:val="000000"/>
          <w:sz w:val="24"/>
        </w:rPr>
        <w:t>The department will issue a proposed pre-expenditure report and intended use plan before publication of the final report and plan. The proposed report and plan will be available for public review and comment.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153.1(3)</w:t>
      </w:r>
      <w:r>
        <w:rPr>
          <w:rFonts w:ascii="Times New Roman" w:hAnsi="Times New Roman"/>
          <w:b w:val="false"/>
          <w:i w:val="false"/>
          <w:color w:val="000000"/>
          <w:sz w:val="24"/>
        </w:rPr>
        <w:t> </w:t>
      </w:r>
      <w:r>
        <w:rPr>
          <w:rFonts w:ascii="Times New Roman" w:hAnsi="Times New Roman"/>
          <w:b w:val="false"/>
          <w:i w:val="false"/>
          <w:color w:val="000000"/>
          <w:sz w:val="24"/>
        </w:rPr>
        <w:t>The department will announce the time and scope of public review each year. The announcement will indicate where the proposed report and plan can be viewed.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153.1(4)</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accept comments about the pre-expenditure report and intended use plan during the specified public review and comment period.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153.1(5)</w:t>
      </w:r>
      <w:r>
        <w:rPr>
          <w:rFonts w:ascii="Times New Roman" w:hAnsi="Times New Roman"/>
          <w:b w:val="false"/>
          <w:i w:val="false"/>
          <w:color w:val="000000"/>
          <w:sz w:val="24"/>
        </w:rPr>
        <w:t> </w:t>
      </w:r>
      <w:r>
        <w:rPr>
          <w:rFonts w:ascii="Times New Roman" w:hAnsi="Times New Roman"/>
          <w:b w:val="false"/>
          <w:i w:val="false"/>
          <w:color w:val="000000"/>
          <w:sz w:val="24"/>
        </w:rPr>
        <w:t>The department will consider public comments when developing the final pre-expenditure report and intended use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153.1(6)</w:t>
      </w:r>
      <w:r>
        <w:rPr>
          <w:rFonts w:ascii="Times New Roman" w:hAnsi="Times New Roman"/>
          <w:b w:val="false"/>
          <w:i w:val="false"/>
          <w:color w:val="000000"/>
          <w:sz w:val="24"/>
        </w:rPr>
        <w:t> </w:t>
      </w:r>
      <w:r>
        <w:rPr>
          <w:rFonts w:ascii="Times New Roman" w:hAnsi="Times New Roman"/>
          <w:b w:val="false"/>
          <w:i w:val="false"/>
          <w:color w:val="000000"/>
          <w:sz w:val="24"/>
        </w:rPr>
        <w:t>A copy of the final pre-expenditure report and intended use plan will be available on the department’s website.</w:t>
      </w:r>
    </w:p>
    <w:p>
      <w:pPr>
        <w:spacing w:before="0" w:after="0" w:line="480"/>
        <w:ind w:left="120"/>
        <w:jc w:val="both"/>
      </w:pPr>
      <w:r>
        <w:rPr>
          <w:rFonts w:ascii="Times New Roman" w:hAnsi="Times New Roman"/>
          <w:b/>
          <w:i w:val="false"/>
          <w:color w:val="000000"/>
          <w:sz w:val="24"/>
        </w:rPr>
        <w:t>441—153.2</w:t>
      </w:r>
      <w:r>
        <w:rPr>
          <w:rFonts w:ascii="Times New Roman" w:hAnsi="Times New Roman"/>
          <w:b/>
          <w:i w:val="false"/>
          <w:color w:val="000000"/>
          <w:sz w:val="24"/>
        </w:rPr>
        <w:t xml:space="preserve">(234) </w:t>
      </w:r>
      <w:r>
        <w:rPr>
          <w:rFonts w:ascii="Times New Roman" w:hAnsi="Times New Roman"/>
          <w:b/>
          <w:i w:val="false"/>
          <w:color w:val="000000"/>
          <w:sz w:val="24"/>
        </w:rPr>
        <w:t xml:space="preserve">Amendment to pre-expenditure report and intended use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153.2(1)</w:t>
      </w:r>
      <w:r>
        <w:rPr>
          <w:rFonts w:ascii="Times New Roman" w:hAnsi="Times New Roman"/>
          <w:b w:val="false"/>
          <w:i w:val="false"/>
          <w:color w:val="000000"/>
          <w:sz w:val="24"/>
        </w:rPr>
        <w:t> </w:t>
      </w:r>
      <w:r>
        <w:rPr>
          <w:rFonts w:ascii="Times New Roman" w:hAnsi="Times New Roman"/>
          <w:b w:val="false"/>
          <w:i w:val="false"/>
          <w:color w:val="000000"/>
          <w:sz w:val="24"/>
        </w:rPr>
        <w:t>The pre-expenditure report and intended use plan may be amended throughout the year. The department may file an amendment changing the type, scope or duration of a service. Decisions to change a direct service or state-purchased service will be made by the department. Prior to filing an amendment, the department will evaluate available funds and the effect any change will have on clients.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153.2(2)</w:t>
      </w:r>
      <w:r>
        <w:rPr>
          <w:rFonts w:ascii="Times New Roman" w:hAnsi="Times New Roman"/>
          <w:b w:val="false"/>
          <w:i w:val="false"/>
          <w:color w:val="000000"/>
          <w:sz w:val="24"/>
        </w:rPr>
        <w:t> </w:t>
      </w:r>
      <w:r>
        <w:rPr>
          <w:rFonts w:ascii="Times New Roman" w:hAnsi="Times New Roman"/>
          <w:b w:val="false"/>
          <w:i w:val="false"/>
          <w:color w:val="000000"/>
          <w:sz w:val="24"/>
        </w:rPr>
        <w:t xml:space="preserve">An amendment in the pre-expenditure report and intended use plan will be posted on the department’s website at least 30 days prior to the effective date of the change. However, in the event funding for the service has been exhausted, an amendment will be posted immediately notifying the public that the service will no longer be available.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whenever possible, give advance notice of a service termination made necessary because funds have been exhausted.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 service is added or extended, an amendment may be posted immediately, and a 30-day posting period is not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153.2(3)</w:t>
      </w:r>
      <w:r>
        <w:rPr>
          <w:rFonts w:ascii="Times New Roman" w:hAnsi="Times New Roman"/>
          <w:b w:val="false"/>
          <w:i w:val="false"/>
          <w:color w:val="000000"/>
          <w:sz w:val="24"/>
        </w:rPr>
        <w:t> </w:t>
      </w:r>
      <w:r>
        <w:rPr>
          <w:rFonts w:ascii="Times New Roman" w:hAnsi="Times New Roman"/>
          <w:b w:val="false"/>
          <w:i w:val="false"/>
          <w:color w:val="000000"/>
          <w:sz w:val="24"/>
        </w:rPr>
        <w:t>Individuals or groups may submit written comments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153.2(4)</w:t>
      </w:r>
      <w:r>
        <w:rPr>
          <w:rFonts w:ascii="Times New Roman" w:hAnsi="Times New Roman"/>
          <w:b w:val="false"/>
          <w:i w:val="false"/>
          <w:color w:val="000000"/>
          <w:sz w:val="24"/>
        </w:rPr>
        <w:t> </w:t>
      </w:r>
      <w:r>
        <w:rPr>
          <w:rFonts w:ascii="Times New Roman" w:hAnsi="Times New Roman"/>
          <w:b w:val="false"/>
          <w:i w:val="false"/>
          <w:color w:val="000000"/>
          <w:sz w:val="24"/>
        </w:rPr>
        <w:t xml:space="preserve">Nothing in this rule will supersede the requirement for notifying clients of adverse action as provided in rule </w:t>
      </w:r>
      <w:hyperlink r:id="rId6">
        <w:r>
          <w:rPr>
            <w:rStyle w:val="Hyperlink"/>
            <w:rFonts w:ascii="Times New Roman" w:hAnsi="Times New Roman"/>
            <w:b w:val="false"/>
            <w:i w:val="false"/>
            <w:color w:val="000000"/>
            <w:sz w:val="24"/>
          </w:rPr>
          <w:t>441—130.5</w:t>
        </w:r>
      </w:hyperlink>
      <w:r>
        <w:rPr>
          <w:rFonts w:ascii="Times New Roman" w:hAnsi="Times New Roman"/>
          <w:b w:val="false"/>
          <w:i w:val="false"/>
          <w:color w:val="000000"/>
          <w:sz w:val="24"/>
        </w:rPr>
        <w:t>(234).</w:t>
      </w:r>
    </w:p>
    <w:p>
      <w:pPr>
        <w:spacing w:before="0" w:after="0" w:line="480"/>
        <w:ind w:left="120"/>
        <w:jc w:val="both"/>
      </w:pPr>
      <w:r>
        <w:rPr>
          <w:rFonts w:ascii="Times New Roman" w:hAnsi="Times New Roman"/>
          <w:b/>
          <w:i w:val="false"/>
          <w:color w:val="000000"/>
          <w:sz w:val="24"/>
        </w:rPr>
        <w:t>441—153.3</w:t>
      </w:r>
      <w:r>
        <w:rPr>
          <w:rFonts w:ascii="Times New Roman" w:hAnsi="Times New Roman"/>
          <w:b/>
          <w:i w:val="false"/>
          <w:color w:val="000000"/>
          <w:sz w:val="24"/>
        </w:rPr>
        <w:t xml:space="preserve">(234) </w:t>
      </w:r>
      <w:r>
        <w:rPr>
          <w:rFonts w:ascii="Times New Roman" w:hAnsi="Times New Roman"/>
          <w:b/>
          <w:i w:val="false"/>
          <w:color w:val="000000"/>
          <w:sz w:val="24"/>
        </w:rPr>
        <w:t xml:space="preserve">Service availability.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153.3(1)</w:t>
      </w:r>
      <w:r>
        <w:rPr>
          <w:rFonts w:ascii="Times New Roman" w:hAnsi="Times New Roman"/>
          <w:b w:val="false"/>
          <w:i w:val="false"/>
          <w:color w:val="000000"/>
          <w:sz w:val="24"/>
        </w:rPr>
        <w:t> </w:t>
      </w:r>
      <w:r>
        <w:rPr>
          <w:rFonts w:ascii="Times New Roman" w:hAnsi="Times New Roman"/>
          <w:b w:val="false"/>
          <w:i w:val="false"/>
          <w:color w:val="000000"/>
          <w:sz w:val="24"/>
        </w:rPr>
        <w:t>A client seeking services shall apply for services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determine eligibility according to rule </w:t>
      </w:r>
      <w:hyperlink r:id="rId7">
        <w:r>
          <w:rPr>
            <w:rStyle w:val="Hyperlink"/>
            <w:rFonts w:ascii="Times New Roman" w:hAnsi="Times New Roman"/>
            <w:b w:val="false"/>
            <w:i w:val="false"/>
            <w:color w:val="000000"/>
            <w:sz w:val="24"/>
          </w:rPr>
          <w:t>441—130.3</w:t>
        </w:r>
      </w:hyperlink>
      <w:r>
        <w:rPr>
          <w:rFonts w:ascii="Times New Roman" w:hAnsi="Times New Roman"/>
          <w:b w:val="false"/>
          <w:i w:val="false"/>
          <w:color w:val="000000"/>
          <w:sz w:val="24"/>
        </w:rPr>
        <w:t>(234).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develop a case plan to monitor the client’s progress toward achieving goals as identified in rule </w:t>
      </w:r>
      <w:hyperlink r:id="rId8">
        <w:r>
          <w:rPr>
            <w:rStyle w:val="Hyperlink"/>
            <w:rFonts w:ascii="Times New Roman" w:hAnsi="Times New Roman"/>
            <w:b w:val="false"/>
            <w:i w:val="false"/>
            <w:color w:val="000000"/>
            <w:sz w:val="24"/>
          </w:rPr>
          <w:t>441—130.7</w:t>
        </w:r>
      </w:hyperlink>
      <w:r>
        <w:rPr>
          <w:rFonts w:ascii="Times New Roman" w:hAnsi="Times New Roman"/>
          <w:b w:val="false"/>
          <w:i w:val="false"/>
          <w:color w:val="000000"/>
          <w:sz w:val="24"/>
        </w:rPr>
        <w:t>(234).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153.3(2)</w:t>
      </w:r>
      <w:r>
        <w:rPr>
          <w:rFonts w:ascii="Times New Roman" w:hAnsi="Times New Roman"/>
          <w:b w:val="false"/>
          <w:i w:val="false"/>
          <w:color w:val="000000"/>
          <w:sz w:val="24"/>
        </w:rPr>
        <w:t> </w:t>
      </w:r>
      <w:r>
        <w:rPr>
          <w:rFonts w:ascii="Times New Roman" w:hAnsi="Times New Roman"/>
          <w:b w:val="false"/>
          <w:i w:val="false"/>
          <w:color w:val="000000"/>
          <w:sz w:val="24"/>
        </w:rPr>
        <w:t xml:space="preserve">A client shall receive a service for which the client is eligible, subject to the provisions of </w:t>
      </w:r>
      <w:hyperlink r:id="rId9">
        <w:r>
          <w:rPr>
            <w:rStyle w:val="Hyperlink"/>
            <w:rFonts w:ascii="Times New Roman" w:hAnsi="Times New Roman"/>
            <w:b w:val="false"/>
            <w:i w:val="false"/>
            <w:color w:val="000000"/>
            <w:sz w:val="24"/>
          </w:rPr>
          <w:t>441—Chapter 130</w:t>
        </w:r>
      </w:hyperlink>
      <w:r>
        <w:rPr>
          <w:rFonts w:ascii="Times New Roman" w:hAnsi="Times New Roman"/>
          <w:b w:val="false"/>
          <w:i w:val="false"/>
          <w:color w:val="000000"/>
          <w:sz w:val="24"/>
        </w:rPr>
        <w:t xml:space="preserve">, when the service is listed in the geographic area in which the client resides.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153.3(3)</w:t>
      </w:r>
      <w:r>
        <w:rPr>
          <w:rFonts w:ascii="Times New Roman" w:hAnsi="Times New Roman"/>
          <w:b w:val="false"/>
          <w:i w:val="false"/>
          <w:color w:val="000000"/>
          <w:sz w:val="24"/>
        </w:rPr>
        <w:t> </w:t>
      </w:r>
      <w:r>
        <w:rPr>
          <w:rFonts w:ascii="Times New Roman" w:hAnsi="Times New Roman"/>
          <w:b w:val="false"/>
          <w:i w:val="false"/>
          <w:color w:val="000000"/>
          <w:sz w:val="24"/>
        </w:rPr>
        <w:t>When federal law prohibits the use of federal funds for the social services block grant, state funds shall be used to pay for services to persons the department has defined as eligible.</w:t>
      </w:r>
    </w:p>
    <w:p>
      <w:pPr>
        <w:spacing w:before="0" w:after="0" w:line="480"/>
        <w:ind w:left="120"/>
        <w:jc w:val="both"/>
      </w:pPr>
      <w:r>
        <w:rPr>
          <w:rFonts w:ascii="Times New Roman" w:hAnsi="Times New Roman"/>
          <w:b/>
          <w:i w:val="false"/>
          <w:color w:val="000000"/>
          <w:sz w:val="24"/>
        </w:rPr>
        <w:t>441—153.4</w:t>
      </w:r>
      <w:r>
        <w:rPr>
          <w:rFonts w:ascii="Times New Roman" w:hAnsi="Times New Roman"/>
          <w:b/>
          <w:i w:val="false"/>
          <w:color w:val="000000"/>
          <w:sz w:val="24"/>
        </w:rPr>
        <w:t xml:space="preserve">(234) </w:t>
      </w:r>
      <w:r>
        <w:rPr>
          <w:rFonts w:ascii="Times New Roman" w:hAnsi="Times New Roman"/>
          <w:b/>
          <w:i w:val="false"/>
          <w:color w:val="000000"/>
          <w:sz w:val="24"/>
        </w:rPr>
        <w:t xml:space="preserve">Allocation of block grant funds.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153.4(1)</w:t>
      </w:r>
      <w:r>
        <w:rPr>
          <w:rFonts w:ascii="Times New Roman" w:hAnsi="Times New Roman"/>
          <w:b w:val="false"/>
          <w:i w:val="false"/>
          <w:color w:val="000000"/>
          <w:sz w:val="24"/>
        </w:rPr>
        <w:t> </w:t>
      </w:r>
      <w:r>
        <w:rPr>
          <w:rFonts w:ascii="Times New Roman" w:hAnsi="Times New Roman"/>
          <w:b w:val="false"/>
          <w:i w:val="false"/>
          <w:color w:val="000000"/>
          <w:sz w:val="24"/>
        </w:rPr>
        <w:t>The department will follow a cost allocation plan for determining the appropriate administrative costs to be funded with block grant moneys.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153.4(2)</w:t>
      </w:r>
      <w:r>
        <w:rPr>
          <w:rFonts w:ascii="Times New Roman" w:hAnsi="Times New Roman"/>
          <w:b w:val="false"/>
          <w:i w:val="false"/>
          <w:color w:val="000000"/>
          <w:sz w:val="24"/>
        </w:rPr>
        <w:t> </w:t>
      </w:r>
      <w:r>
        <w:rPr>
          <w:rFonts w:ascii="Times New Roman" w:hAnsi="Times New Roman"/>
          <w:b w:val="false"/>
          <w:i w:val="false"/>
          <w:color w:val="000000"/>
          <w:sz w:val="24"/>
        </w:rPr>
        <w:t>Funding for services will be allocated in accordance with the annual budgeting process. The department’s annual budget is available for review on the department’s website. Costs may be shifted in and between service areas to ensure continued statewide availability of services.</w:t>
      </w:r>
    </w:p>
    <w:p>
      <w:pPr>
        <w:spacing w:before="210" w:after="0" w:line="480"/>
        <w:ind w:left="120"/>
        <w:jc w:val="both"/>
      </w:pPr>
      <w:r>
        <w:rPr>
          <w:rFonts w:ascii="Times New Roman" w:hAnsi="Times New Roman"/>
          <w:b/>
          <w:i w:val="false"/>
          <w:color w:val="000000"/>
          <w:sz w:val="24"/>
        </w:rPr>
        <w:t>441—153.5</w:t>
      </w:r>
      <w:r>
        <w:rPr>
          <w:rFonts w:ascii="Times New Roman" w:hAnsi="Times New Roman"/>
          <w:b/>
          <w:i w:val="false"/>
          <w:color w:val="000000"/>
          <w:sz w:val="24"/>
        </w:rPr>
        <w:t xml:space="preserve">(234) </w:t>
      </w:r>
      <w:r>
        <w:rPr>
          <w:rFonts w:ascii="Times New Roman" w:hAnsi="Times New Roman"/>
          <w:b/>
          <w:i w:val="false"/>
          <w:color w:val="000000"/>
          <w:sz w:val="24"/>
        </w:rPr>
        <w:t xml:space="preserve">Expenditure of supplemental funds. </w:t>
      </w:r>
      <w:r>
        <w:rPr>
          <w:rFonts w:ascii="Times New Roman" w:hAnsi="Times New Roman"/>
          <w:b w:val="false"/>
          <w:i w:val="false"/>
          <w:color w:val="000000"/>
          <w:sz w:val="24"/>
        </w:rPr>
        <w:t>When supplemental funds are issued through the social services block grant as emergency disaster relief, the department will administer the funds in compliance with the terms of the federal award.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0">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rule/441.130.5.pdf" Type="http://schemas.openxmlformats.org/officeDocument/2006/relationships/hyperlink" Id="rId6"/>
    <Relationship TargetMode="External" Target="https://www.legis.iowa.gov/docs/iac/rule/441.130.3.pdf" Type="http://schemas.openxmlformats.org/officeDocument/2006/relationships/hyperlink" Id="rId7"/>
    <Relationship TargetMode="External" Target="https://www.legis.iowa.gov/docs/iac/rule/441.130.7.pdf" Type="http://schemas.openxmlformats.org/officeDocument/2006/relationships/hyperlink" Id="rId8"/>
    <Relationship TargetMode="External" Target="https://www.legis.iowa.gov/docs/iac/chapter/441.130.pdf" Type="http://schemas.openxmlformats.org/officeDocument/2006/relationships/hyperlink" Id="rId9"/>
    <Relationship TargetMode="External" Target="https://www.legis.iowa.gov/docs/ico/chapter/234.6.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