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61D" w:id="1"/>
    <w:p>
      <w:pPr>
        <w:spacing w:before="0" w:after="0" w:line="480"/>
        <w:ind w:left="120"/>
        <w:jc w:val="right"/>
      </w:pPr>
      <w:r>
        <w:rPr>
          <w:rFonts w:ascii="Times New Roman" w:hAnsi="Times New Roman"/>
          <w:b/>
          <w:i w:val="false"/>
          <w:color w:val="000000"/>
          <w:sz w:val="28"/>
        </w:rPr>
        <w:t>ARC 0561D</w:t>
      </w:r>
    </w:p>
    <w:bookmarkEnd w:id="1"/>
    <w:p>
      <w:pPr>
        <w:pBdr>
          <w:top w:space="5"/>
        </w:pBdr>
        <w:spacing w:before="0" w:after="0" w:line="480"/>
        <w:ind w:left="120"/>
        <w:jc w:val="center"/>
      </w:pPr>
      <w:r>
        <w:rPr>
          <w:rFonts w:ascii="Times New Roman" w:hAnsi="Times New Roman"/>
          <w:b/>
          <w:i w:val="false"/>
          <w:color w:val="000000"/>
          <w:sz w:val="28"/>
        </w:rPr>
        <w:t>SOIL CONSERVATION AND WATER QUALITY DIVISION[27]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contracts for public improvements and professional services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Soil Conservation and Water Quality Division hereby proposes to rescind Chapter 6, “Contracts for Public Improvements and Professional Services,” Iowa Administrative Code, and to adopt a new Chapter 6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161A.4.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161A.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6 to modernize and streamline the Division’s procedures for contracting for public improvements and professional services. The proposed rules align public improvement contracting requirements with current Iowa Code provisions governing competitive bidding and quotations, update applicable statutory references, and establish a formal prequalification process for professional service providers. The rulemaking also simplifies the selection process for professional services and updates solicitation and qualification procedures while maintaining the requirement that contracts be awarded competitively to the maximum practical extent.</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A Regulatory Analysis for this rulemaking was published in the Iowa Administrative Bulletin on June 24, 2026. A public hearing was held on the following date(s):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Division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1305 East Walnut Street, Fifth Floor</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w:t>
      </w:r>
    </w:p>
    <w:p>
      <w:pPr>
        <w:spacing w:before="0" w:after="0" w:line="480"/>
        <w:ind w:left="120"/>
        <w:jc w:val="center"/>
      </w:pPr>
      <w:r>
        <w:rPr>
          <w:rFonts w:ascii="Times New Roman" w:hAnsi="Times New Roman"/>
          <w:b w:val="false"/>
          <w:i w:val="false"/>
          <w:color w:val="000000"/>
          <w:sz w:val="21"/>
        </w:rPr>
        <w:t xml:space="preserve">CONTRACTS FOR PUBLIC IMPROVEMENTS </w:t>
      </w:r>
      <w:r>
        <w:br/>
      </w:r>
      <w:r>
        <w:rPr>
          <w:rFonts w:ascii="Times New Roman" w:hAnsi="Times New Roman"/>
          <w:b w:val="false"/>
          <w:i w:val="false"/>
          <w:color w:val="000000"/>
          <w:sz w:val="21"/>
        </w:rPr>
        <w:t>AND PROFESSIONAL SERVICES</w:t>
      </w:r>
    </w:p>
    <w:p>
      <w:pPr>
        <w:spacing w:before="0" w:after="0" w:line="480"/>
        <w:ind w:left="120"/>
        <w:jc w:val="both"/>
      </w:pPr>
      <w:r>
        <w:rPr>
          <w:rFonts w:ascii="Times New Roman" w:hAnsi="Times New Roman"/>
          <w:b/>
          <w:i w:val="false"/>
          <w:color w:val="000000"/>
          <w:sz w:val="24"/>
        </w:rPr>
        <w:t>27—6.1</w:t>
      </w:r>
      <w:r>
        <w:rPr>
          <w:rFonts w:ascii="Times New Roman" w:hAnsi="Times New Roman"/>
          <w:b/>
          <w:i w:val="false"/>
          <w:color w:val="000000"/>
          <w:sz w:val="24"/>
        </w:rPr>
        <w:t xml:space="preserve">(17A,159,161A,207,208) </w:t>
      </w:r>
      <w:r>
        <w:rPr>
          <w:rFonts w:ascii="Times New Roman" w:hAnsi="Times New Roman"/>
          <w:b/>
          <w:i w:val="false"/>
          <w:color w:val="000000"/>
          <w:sz w:val="24"/>
        </w:rPr>
        <w:t xml:space="preserve">Contract policy.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6.1(1)</w:t>
      </w:r>
      <w:r>
        <w:rPr>
          <w:rFonts w:ascii="Times New Roman" w:hAnsi="Times New Roman"/>
          <w:b w:val="false"/>
          <w:i w:val="false"/>
          <w:color w:val="000000"/>
          <w:sz w:val="24"/>
        </w:rPr>
        <w:t> </w:t>
      </w:r>
      <w:r>
        <w:rPr>
          <w:rFonts w:ascii="Times New Roman" w:hAnsi="Times New Roman"/>
          <w:b w:val="false"/>
          <w:i w:val="false"/>
          <w:color w:val="000000"/>
          <w:sz w:val="24"/>
        </w:rPr>
        <w:t>All public improvements and professional services contracts with the division shall be awarded on a competitive basis to the maximum practical extent. All contracts shall be in written form and signed by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6.1(2)</w:t>
      </w:r>
      <w:r>
        <w:rPr>
          <w:rFonts w:ascii="Times New Roman" w:hAnsi="Times New Roman"/>
          <w:b w:val="false"/>
          <w:i w:val="false"/>
          <w:color w:val="000000"/>
          <w:sz w:val="24"/>
        </w:rPr>
        <w:t> </w:t>
      </w:r>
      <w:r>
        <w:rPr>
          <w:rFonts w:ascii="Times New Roman" w:hAnsi="Times New Roman"/>
          <w:b w:val="false"/>
          <w:i w:val="false"/>
          <w:color w:val="000000"/>
          <w:sz w:val="24"/>
        </w:rPr>
        <w:t>Exceptions for compliance with federal rules and guidelines. Whenever adherence to these contracting procedures would result in the loss of federal aid for any public improvement project or professional services project, the applicable rules or guidelines shall be followed to the extent necessary to qualify for the federal funds.</w:t>
      </w:r>
    </w:p>
    <w:p>
      <w:pPr>
        <w:pBdr>
          <w:top w:space="10"/>
        </w:pBdr>
        <w:spacing w:before="0" w:after="0" w:line="480"/>
        <w:ind w:left="120"/>
        <w:jc w:val="center"/>
      </w:pPr>
      <w:r>
        <w:rPr>
          <w:rFonts w:ascii="Times New Roman" w:hAnsi="Times New Roman"/>
          <w:b w:val="false"/>
          <w:i w:val="false"/>
          <w:color w:val="000000"/>
          <w:sz w:val="16"/>
        </w:rPr>
        <w:t>PART 1</w:t>
      </w:r>
    </w:p>
    <w:p>
      <w:pPr>
        <w:pBdr>
          <w:bottom w:space="10"/>
        </w:pBdr>
        <w:spacing w:before="0" w:after="0" w:line="480"/>
        <w:ind w:left="120"/>
        <w:jc w:val="center"/>
      </w:pPr>
      <w:r>
        <w:rPr>
          <w:rFonts w:ascii="Times New Roman" w:hAnsi="Times New Roman"/>
          <w:b w:val="false"/>
          <w:i w:val="false"/>
          <w:color w:val="000000"/>
          <w:sz w:val="16"/>
        </w:rPr>
        <w:t>PUBLIC IMPROVEMENTS</w:t>
      </w:r>
    </w:p>
    <w:p>
      <w:pPr>
        <w:spacing w:before="0" w:after="0" w:line="480"/>
        <w:ind w:left="120"/>
        <w:jc w:val="both"/>
      </w:pPr>
      <w:r>
        <w:rPr>
          <w:rFonts w:ascii="Times New Roman" w:hAnsi="Times New Roman"/>
          <w:b/>
          <w:i w:val="false"/>
          <w:color w:val="000000"/>
          <w:sz w:val="24"/>
        </w:rPr>
        <w:t>27—6.2</w:t>
      </w:r>
      <w:r>
        <w:rPr>
          <w:rFonts w:ascii="Times New Roman" w:hAnsi="Times New Roman"/>
          <w:b/>
          <w:i w:val="false"/>
          <w:color w:val="000000"/>
          <w:sz w:val="24"/>
        </w:rPr>
        <w:t xml:space="preserve">(17A,26,159,161A,207,208) </w:t>
      </w:r>
      <w:r>
        <w:rPr>
          <w:rFonts w:ascii="Times New Roman" w:hAnsi="Times New Roman"/>
          <w:b/>
          <w:i w:val="false"/>
          <w:color w:val="000000"/>
          <w:sz w:val="24"/>
        </w:rPr>
        <w:t xml:space="preserve">Contracts for public improvements.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w:t>
      </w:r>
      <w:r>
        <w:rPr>
          <w:rFonts w:ascii="Times New Roman" w:hAnsi="Times New Roman"/>
          <w:b w:val="false"/>
          <w:i w:val="false"/>
          <w:color w:val="000000"/>
          <w:sz w:val="24"/>
        </w:rPr>
        <w:t> </w:t>
      </w:r>
      <w:r>
        <w:rPr>
          <w:rFonts w:ascii="Times New Roman" w:hAnsi="Times New Roman"/>
          <w:b w:val="false"/>
          <w:i/>
          <w:color w:val="000000"/>
          <w:sz w:val="24"/>
        </w:rPr>
        <w:t xml:space="preserve">Definition. </w:t>
      </w:r>
      <w:r>
        <w:rPr>
          <w:rFonts w:ascii="Times New Roman" w:hAnsi="Times New Roman"/>
          <w:b w:val="false"/>
          <w:i w:val="false"/>
          <w:color w:val="000000"/>
          <w:sz w:val="24"/>
        </w:rPr>
        <w:t xml:space="preserve">As used in these rules, “public improvement” means any building or construction work, including abandoned mined land reclamation and maintenance, to be paid for in whole or in part by the use of state funds. Iowa Code section </w:t>
      </w:r>
      <w:hyperlink r:id="rId6">
        <w:r>
          <w:rPr>
            <w:rStyle w:val="Hyperlink"/>
            <w:rFonts w:ascii="Times New Roman" w:hAnsi="Times New Roman"/>
            <w:b w:val="false"/>
            <w:i w:val="false"/>
            <w:color w:val="000000"/>
            <w:sz w:val="24"/>
          </w:rPr>
          <w:t>8A.311B</w:t>
        </w:r>
      </w:hyperlink>
      <w:r>
        <w:rPr>
          <w:rFonts w:ascii="Times New Roman" w:hAnsi="Times New Roman"/>
          <w:b w:val="false"/>
          <w:i w:val="false"/>
          <w:color w:val="000000"/>
          <w:sz w:val="24"/>
        </w:rPr>
        <w:t>, relating to reciprocal resident bidder preference, shall apply to division contracts for public improvements.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w:t>
      </w:r>
      <w:r>
        <w:rPr>
          <w:rFonts w:ascii="Times New Roman" w:hAnsi="Times New Roman"/>
          <w:b w:val="false"/>
          <w:i w:val="false"/>
          <w:color w:val="000000"/>
          <w:sz w:val="24"/>
        </w:rPr>
        <w:t> </w:t>
      </w:r>
      <w:r>
        <w:rPr>
          <w:rFonts w:ascii="Times New Roman" w:hAnsi="Times New Roman"/>
          <w:b w:val="false"/>
          <w:i/>
          <w:color w:val="000000"/>
          <w:sz w:val="24"/>
        </w:rPr>
        <w:t xml:space="preserve">Invitation for bids. </w:t>
      </w:r>
      <w:r>
        <w:rPr>
          <w:rFonts w:ascii="Times New Roman" w:hAnsi="Times New Roman"/>
          <w:b w:val="false"/>
          <w:i w:val="false"/>
          <w:color w:val="000000"/>
          <w:sz w:val="24"/>
        </w:rPr>
        <w:t xml:space="preserve">The division will solicit bids in accordance with Iowa Code section </w:t>
      </w:r>
      <w:hyperlink r:id="rId7">
        <w:r>
          <w:rPr>
            <w:rStyle w:val="Hyperlink"/>
            <w:rFonts w:ascii="Times New Roman" w:hAnsi="Times New Roman"/>
            <w:b w:val="false"/>
            <w:i w:val="false"/>
            <w:color w:val="000000"/>
            <w:sz w:val="24"/>
          </w:rPr>
          <w:t>26.3(1)</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26.3(2)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w:t>
      </w:r>
      <w:r>
        <w:rPr>
          <w:rFonts w:ascii="Times New Roman" w:hAnsi="Times New Roman"/>
          <w:b w:val="false"/>
          <w:i w:val="false"/>
          <w:color w:val="000000"/>
          <w:sz w:val="24"/>
        </w:rPr>
        <w:t> </w:t>
      </w:r>
      <w:r>
        <w:rPr>
          <w:rFonts w:ascii="Times New Roman" w:hAnsi="Times New Roman"/>
          <w:b w:val="false"/>
          <w:i/>
          <w:color w:val="000000"/>
          <w:sz w:val="24"/>
        </w:rPr>
        <w:t xml:space="preserve">Invitation for bids. </w:t>
      </w:r>
      <w:r>
        <w:rPr>
          <w:rFonts w:ascii="Times New Roman" w:hAnsi="Times New Roman"/>
          <w:b w:val="false"/>
          <w:i w:val="false"/>
          <w:color w:val="000000"/>
          <w:sz w:val="24"/>
        </w:rPr>
        <w:t xml:space="preserve">The division will accept bids that fall into accordance with Iowa Code sections </w:t>
      </w:r>
      <w:hyperlink r:id="rId9">
        <w:r>
          <w:rPr>
            <w:rStyle w:val="Hyperlink"/>
            <w:rFonts w:ascii="Times New Roman" w:hAnsi="Times New Roman"/>
            <w:b w:val="false"/>
            <w:i w:val="false"/>
            <w:color w:val="000000"/>
            <w:sz w:val="24"/>
          </w:rPr>
          <w:t>26.7(1)</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26.10(1)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w:t>
      </w:r>
      <w:r>
        <w:rPr>
          <w:rFonts w:ascii="Times New Roman" w:hAnsi="Times New Roman"/>
          <w:b w:val="false"/>
          <w:i w:val="false"/>
          <w:color w:val="000000"/>
          <w:sz w:val="24"/>
        </w:rPr>
        <w:t> </w:t>
      </w:r>
      <w:r>
        <w:rPr>
          <w:rFonts w:ascii="Times New Roman" w:hAnsi="Times New Roman"/>
          <w:b w:val="false"/>
          <w:i/>
          <w:color w:val="000000"/>
          <w:sz w:val="24"/>
        </w:rPr>
        <w:t xml:space="preserve">Solicitation of quotations. </w:t>
      </w:r>
      <w:r>
        <w:rPr>
          <w:rFonts w:ascii="Times New Roman" w:hAnsi="Times New Roman"/>
          <w:b w:val="false"/>
          <w:i w:val="false"/>
          <w:color w:val="000000"/>
          <w:sz w:val="24"/>
        </w:rPr>
        <w:t xml:space="preserve">The division will follow the competitive quotations process outlined in Iowa Code section </w:t>
      </w:r>
      <w:hyperlink r:id="rId11">
        <w:r>
          <w:rPr>
            <w:rStyle w:val="Hyperlink"/>
            <w:rFonts w:ascii="Times New Roman" w:hAnsi="Times New Roman"/>
            <w:b w:val="false"/>
            <w:i w:val="false"/>
            <w:color w:val="000000"/>
            <w:sz w:val="24"/>
          </w:rPr>
          <w:t>26.14</w:t>
        </w:r>
      </w:hyperlink>
      <w:r>
        <w:rPr>
          <w:rFonts w:ascii="Times New Roman" w:hAnsi="Times New Roman"/>
          <w:b w:val="false"/>
          <w:i w:val="false"/>
          <w:color w:val="000000"/>
          <w:sz w:val="24"/>
        </w:rPr>
        <w:t xml:space="preserve"> when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6.2(5)</w:t>
      </w:r>
      <w:r>
        <w:rPr>
          <w:rFonts w:ascii="Times New Roman" w:hAnsi="Times New Roman"/>
          <w:b w:val="false"/>
          <w:i w:val="false"/>
          <w:color w:val="000000"/>
          <w:sz w:val="24"/>
        </w:rPr>
        <w:t> </w:t>
      </w:r>
      <w:r>
        <w:rPr>
          <w:rFonts w:ascii="Times New Roman" w:hAnsi="Times New Roman"/>
          <w:b w:val="false"/>
          <w:i/>
          <w:color w:val="000000"/>
          <w:sz w:val="24"/>
        </w:rPr>
        <w:t xml:space="preserve">Failure to receive a qualified bid or quotation. </w:t>
      </w:r>
      <w:r>
        <w:rPr>
          <w:rFonts w:ascii="Times New Roman" w:hAnsi="Times New Roman"/>
          <w:b w:val="false"/>
          <w:i w:val="false"/>
          <w:color w:val="000000"/>
          <w:sz w:val="24"/>
        </w:rPr>
        <w:t>In the event that no qualified sealed bids or quotations are received, the division may negotiate a contract with a qualified contractor.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6.2(6)</w:t>
      </w:r>
      <w:r>
        <w:rPr>
          <w:rFonts w:ascii="Times New Roman" w:hAnsi="Times New Roman"/>
          <w:b w:val="false"/>
          <w:i w:val="false"/>
          <w:color w:val="000000"/>
          <w:sz w:val="24"/>
        </w:rPr>
        <w:t> </w:t>
      </w:r>
      <w:r>
        <w:rPr>
          <w:rFonts w:ascii="Times New Roman" w:hAnsi="Times New Roman"/>
          <w:b w:val="false"/>
          <w:i/>
          <w:color w:val="000000"/>
          <w:sz w:val="24"/>
        </w:rPr>
        <w:t xml:space="preserve">Exceptions to the requirement for bids or quotations. </w:t>
      </w:r>
      <w:r>
        <w:rPr>
          <w:rFonts w:ascii="Times New Roman" w:hAnsi="Times New Roman"/>
          <w:b w:val="false"/>
          <w:i w:val="false"/>
          <w:color w:val="000000"/>
          <w:sz w:val="24"/>
        </w:rPr>
        <w:t>The administrator may authorize the negotiation of a contract for a public improvement project without first soliciting quotations or advertising for bids under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contemplated project involves the provision of utility services or the construction of a utility system and it would not be practicable to allow someone other than the utility company to perform the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Where competition is precluded because of patent rights, secret processes, or control of basic raw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Where the project involves work of such a specialized nature that only one firm or person can reasonably be expected to accomplish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Where the service or product is provided by a nonprofit private corporation, a government body or an educational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When emergency repair of a public improvement is necessary and delay for advertising or solicitation of quotations might cause serious loss or injury to the state.</w:t>
      </w:r>
    </w:p>
    <w:p>
      <w:pPr>
        <w:pBdr>
          <w:top w:space="10"/>
        </w:pBdr>
        <w:spacing w:before="0" w:after="0" w:line="480"/>
        <w:ind w:left="120"/>
        <w:jc w:val="center"/>
      </w:pPr>
      <w:r>
        <w:rPr>
          <w:rFonts w:ascii="Times New Roman" w:hAnsi="Times New Roman"/>
          <w:b w:val="false"/>
          <w:i w:val="false"/>
          <w:color w:val="000000"/>
          <w:sz w:val="16"/>
        </w:rPr>
        <w:t>PART 2</w:t>
      </w:r>
    </w:p>
    <w:p>
      <w:pPr>
        <w:pBdr>
          <w:bottom w:space="10"/>
        </w:pBdr>
        <w:spacing w:before="0" w:after="0" w:line="480"/>
        <w:ind w:left="120"/>
        <w:jc w:val="center"/>
      </w:pPr>
      <w:r>
        <w:rPr>
          <w:rFonts w:ascii="Times New Roman" w:hAnsi="Times New Roman"/>
          <w:b w:val="false"/>
          <w:i w:val="false"/>
          <w:color w:val="000000"/>
          <w:sz w:val="16"/>
        </w:rPr>
        <w:t>PROFESSIONAL SERVICES</w:t>
      </w:r>
    </w:p>
    <w:p>
      <w:pPr>
        <w:spacing w:before="0" w:after="0" w:line="480"/>
        <w:ind w:left="120"/>
        <w:jc w:val="both"/>
      </w:pPr>
      <w:r>
        <w:rPr>
          <w:rFonts w:ascii="Times New Roman" w:hAnsi="Times New Roman"/>
          <w:b/>
          <w:i w:val="false"/>
          <w:color w:val="000000"/>
          <w:sz w:val="24"/>
        </w:rPr>
        <w:t>27—6.3</w:t>
      </w:r>
      <w:r>
        <w:rPr>
          <w:rFonts w:ascii="Times New Roman" w:hAnsi="Times New Roman"/>
          <w:b/>
          <w:i w:val="false"/>
          <w:color w:val="000000"/>
          <w:sz w:val="24"/>
        </w:rPr>
        <w:t xml:space="preserve">(17A,159,161A,207,208) </w:t>
      </w:r>
      <w:r>
        <w:rPr>
          <w:rFonts w:ascii="Times New Roman" w:hAnsi="Times New Roman"/>
          <w:b/>
          <w:i w:val="false"/>
          <w:color w:val="000000"/>
          <w:sz w:val="24"/>
        </w:rPr>
        <w:t xml:space="preserve">Contracts for professional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w:t>
      </w:r>
      <w:r>
        <w:rPr>
          <w:rFonts w:ascii="Times New Roman" w:hAnsi="Times New Roman"/>
          <w:b w:val="false"/>
          <w:i w:val="false"/>
          <w:color w:val="000000"/>
          <w:sz w:val="24"/>
        </w:rPr>
        <w:t> </w:t>
      </w:r>
      <w:r>
        <w:rPr>
          <w:rFonts w:ascii="Times New Roman" w:hAnsi="Times New Roman"/>
          <w:b w:val="false"/>
          <w:i/>
          <w:color w:val="000000"/>
          <w:sz w:val="24"/>
        </w:rPr>
        <w:t xml:space="preserve">Professional services defined. </w:t>
      </w:r>
      <w:r>
        <w:rPr>
          <w:rFonts w:ascii="Times New Roman" w:hAnsi="Times New Roman"/>
          <w:b w:val="false"/>
          <w:i w:val="false"/>
          <w:color w:val="000000"/>
          <w:sz w:val="24"/>
        </w:rPr>
        <w:t>The term “professional services” shall include planning, design, architectural, engineering, landscape architecture, land surveying, land appraising, consulting, legal and management review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w:t>
      </w:r>
      <w:r>
        <w:rPr>
          <w:rFonts w:ascii="Times New Roman" w:hAnsi="Times New Roman"/>
          <w:b w:val="false"/>
          <w:i w:val="false"/>
          <w:color w:val="000000"/>
          <w:sz w:val="24"/>
        </w:rPr>
        <w:t> </w:t>
      </w:r>
      <w:r>
        <w:rPr>
          <w:rFonts w:ascii="Times New Roman" w:hAnsi="Times New Roman"/>
          <w:b w:val="false"/>
          <w:i/>
          <w:color w:val="000000"/>
          <w:sz w:val="24"/>
        </w:rPr>
        <w:t xml:space="preserve">Prequalification of professional firms or individuals.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division shall prequalify professional firms or individuals interested in performing the types of professional services regularly required by the division and keep a current list of such firms or individuals. Prequalification is not an award and does not create an obligation on behalf of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open invitation to qualify for the types of professional services required by the division shall be periodically advertised by posting to at least one relevant lead-generating service with statewide circulation, by posting to the department’s webpage, and by such other means as may be appropriate. Interested firms or individuals shall be requested to provide a statement of qualifications, including but not limited to information relative to the number, qualifications, and experience of their professional staff and any specialized expertise that may be appropriate. Statements of qualifications shall be evaluated by a committee of at least three individuals established by the administrator. Following evaluation, the committee shall submit a decision recommendation to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Prequalified firms or individuals shall be required to maintain eligibility requirements established by the division. Unless such eligibility requirements fail to be maintained, prequalified firms or individuals will remain qualified for a period of up to six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6.3(3)</w:t>
      </w:r>
      <w:r>
        <w:rPr>
          <w:rFonts w:ascii="Times New Roman" w:hAnsi="Times New Roman"/>
          <w:b w:val="false"/>
          <w:i w:val="false"/>
          <w:color w:val="000000"/>
          <w:sz w:val="24"/>
        </w:rPr>
        <w:t> </w:t>
      </w:r>
      <w:r>
        <w:rPr>
          <w:rFonts w:ascii="Times New Roman" w:hAnsi="Times New Roman"/>
          <w:b w:val="false"/>
          <w:i/>
          <w:color w:val="000000"/>
          <w:sz w:val="24"/>
        </w:rPr>
        <w:t xml:space="preserve">Selection of firm or individual.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any contract for professional services estimated to cost less than $10,000, the division may select a prequalified firm or individual and negotiate a professional services contract. The bureau chief or division administrator shall prepare a memorandum for the project file stating the reasons why that particular firm or individual was selected. However, proposals may be solicited if it is in the best interest of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contracts estimated to exceed $10,000, prequalified firms or individuals shall be invited to submit proposals for the performance of the needed services. The proposals submitted shall be reviewed, and members of the firms or individuals may be interviewed by a division selection committee established by the administrator. At least two-thirds of the selection committee shall be composed of individuals not responsible for the contract administration. This committee shall evaluate each proposal relative to criteria established by the division, which may include but not be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Sufficiency of professional and technical staff to meet the project schedule and work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Performance records for timeliness, quality and project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Specialized expertise.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Proposed method of accomplishing the desired service.</w:t>
      </w:r>
    </w:p>
    <w:p>
      <w:pPr>
        <w:spacing w:before="0" w:after="0" w:line="480"/>
        <w:ind w:left="120"/>
        <w:jc w:val="both"/>
      </w:pPr>
      <w:r>
        <w:rPr>
          <w:rFonts w:ascii="Times New Roman" w:hAnsi="Times New Roman"/>
          <w:b w:val="false"/>
          <w:i w:val="false"/>
          <w:color w:val="000000"/>
          <w:sz w:val="24"/>
        </w:rPr>
        <w:t>After evaluating the proposals, the committee shall submit a written recommendation of the most qualified firm or individual to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administrator shall accept the recommendation and enter into contract negotiations with said firm or individual. Upon the acceptance of a proposal by the administrator, the total estimated cost shall become the maximum contract cost, which shall not be increased, except to the extent that a contract amendment increases the objectives and scope of services. Such increase in scope shall be limited to the type of services for which the contract was initially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a project requiring professional services is divided into several phases, the selection of a professional firm or individual for the first project phase may be accomplished in the manner prescribed above. The contract cost for subsequent phases may be established later by negotiation.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administrator may authorize the negotiation of a contract without solicitation of quotations or advertising for proposals if the service is to be provided by another governmental entity or educational institution or nonprofit corporation, or if the service is of a specialized nature where only one firm or individual can reasonably provide the service, or where delay for solicitation of quotations or advertisings for proposals might reasonably be expected to result in serious loss or injury to the state.</w:t>
      </w:r>
    </w:p>
    <w:p>
      <w:pPr>
        <w:spacing w:before="0" w:after="0" w:line="480"/>
        <w:ind w:left="120"/>
        <w:jc w:val="both"/>
      </w:pPr>
      <w:r>
        <w:rPr>
          <w:rFonts w:ascii="Times New Roman" w:hAnsi="Times New Roman"/>
          <w:b/>
          <w:i w:val="false"/>
          <w:color w:val="000000"/>
          <w:sz w:val="24"/>
        </w:rPr>
        <w:t>27—6.4</w:t>
      </w:r>
      <w:r>
        <w:rPr>
          <w:rFonts w:ascii="Times New Roman" w:hAnsi="Times New Roman"/>
          <w:b/>
          <w:i w:val="false"/>
          <w:color w:val="000000"/>
          <w:sz w:val="24"/>
        </w:rPr>
        <w:t xml:space="preserve">(17A,159,161A,207,208) </w:t>
      </w:r>
      <w:r>
        <w:rPr>
          <w:rFonts w:ascii="Times New Roman" w:hAnsi="Times New Roman"/>
          <w:b/>
          <w:i w:val="false"/>
          <w:color w:val="000000"/>
          <w:sz w:val="24"/>
        </w:rPr>
        <w:t xml:space="preserve">Approval and award of contracts.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w:t>
      </w:r>
      <w:r>
        <w:rPr>
          <w:rFonts w:ascii="Times New Roman" w:hAnsi="Times New Roman"/>
          <w:b w:val="false"/>
          <w:i w:val="false"/>
          <w:color w:val="000000"/>
          <w:sz w:val="24"/>
        </w:rPr>
        <w:t> </w:t>
      </w:r>
      <w:r>
        <w:rPr>
          <w:rFonts w:ascii="Times New Roman" w:hAnsi="Times New Roman"/>
          <w:b w:val="false"/>
          <w:i/>
          <w:color w:val="000000"/>
          <w:sz w:val="24"/>
        </w:rPr>
        <w:t xml:space="preserve">Contract approval. </w:t>
      </w:r>
      <w:r>
        <w:rPr>
          <w:rFonts w:ascii="Times New Roman" w:hAnsi="Times New Roman"/>
          <w:b w:val="false"/>
          <w:i w:val="false"/>
          <w:color w:val="000000"/>
          <w:sz w:val="24"/>
        </w:rPr>
        <w:t>All contracts for public improvement or professional services shall be signed by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w:t>
      </w:r>
      <w:r>
        <w:rPr>
          <w:rFonts w:ascii="Times New Roman" w:hAnsi="Times New Roman"/>
          <w:b w:val="false"/>
          <w:i w:val="false"/>
          <w:color w:val="000000"/>
          <w:sz w:val="24"/>
        </w:rPr>
        <w:t> </w:t>
      </w:r>
      <w:r>
        <w:rPr>
          <w:rFonts w:ascii="Times New Roman" w:hAnsi="Times New Roman"/>
          <w:b w:val="false"/>
          <w:i/>
          <w:color w:val="000000"/>
          <w:sz w:val="24"/>
        </w:rPr>
        <w:t xml:space="preserve">Contract award. </w:t>
      </w:r>
      <w:r>
        <w:rPr>
          <w:rFonts w:ascii="Times New Roman" w:hAnsi="Times New Roman"/>
          <w:b w:val="false"/>
          <w:i w:val="false"/>
          <w:color w:val="000000"/>
          <w:sz w:val="24"/>
        </w:rPr>
        <w:t>The contract shall be awarded to the firm or individual whose bid or proposal is believed to be the most advantageous to the state. Bids or proposals may be rejected if they do not appear to be reasonable or if there is reason to believe that the firm or individual is not sufficiently qualified to accomplish the desired work or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w:t>
      </w:r>
      <w:r>
        <w:rPr>
          <w:rFonts w:ascii="Times New Roman" w:hAnsi="Times New Roman"/>
          <w:b w:val="false"/>
          <w:i w:val="false"/>
          <w:color w:val="000000"/>
          <w:sz w:val="24"/>
        </w:rPr>
        <w:t> </w:t>
      </w:r>
      <w:r>
        <w:rPr>
          <w:rFonts w:ascii="Times New Roman" w:hAnsi="Times New Roman"/>
          <w:b w:val="false"/>
          <w:i/>
          <w:color w:val="000000"/>
          <w:sz w:val="24"/>
        </w:rPr>
        <w:t xml:space="preserve">Change orders and extra work orders. </w:t>
      </w:r>
      <w:r>
        <w:rPr>
          <w:rFonts w:ascii="Times New Roman" w:hAnsi="Times New Roman"/>
          <w:b w:val="false"/>
          <w:i w:val="false"/>
          <w:color w:val="000000"/>
          <w:sz w:val="24"/>
        </w:rPr>
        <w:t>All change orders and extra work orders shall be signed by the administrator before the work or service is performed, except in emergency situations or where such approval would result in unreasonable delay.</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12">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159</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 xml:space="preserve"> and section </w:t>
      </w:r>
      <w:hyperlink r:id="rId17">
        <w:r>
          <w:rPr>
            <w:rStyle w:val="Hyperlink"/>
            <w:rFonts w:ascii="Times New Roman" w:hAnsi="Times New Roman"/>
            <w:b w:val="false"/>
            <w:i w:val="false"/>
            <w:color w:val="000000"/>
            <w:sz w:val="24"/>
          </w:rPr>
          <w:t>26.3</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8A.311B.pdf" Type="http://schemas.openxmlformats.org/officeDocument/2006/relationships/hyperlink" Id="rId6"/>
    <Relationship TargetMode="External" Target="https://www.legis.iowa.gov/docs/ico/chapter/26.3.pdf" Type="http://schemas.openxmlformats.org/officeDocument/2006/relationships/hyperlink" Id="rId7"/>
    <Relationship TargetMode="External" Target="https://www.legis.iowa.gov/docs/ico/chapter/26.3.pdf" Type="http://schemas.openxmlformats.org/officeDocument/2006/relationships/hyperlink" Id="rId8"/>
    <Relationship TargetMode="External" Target="https://www.legis.iowa.gov/docs/ico/chapter/26.7.pdf" Type="http://schemas.openxmlformats.org/officeDocument/2006/relationships/hyperlink" Id="rId9"/>
    <Relationship TargetMode="External" Target="https://www.legis.iowa.gov/docs/ico/chapter/26.10.pdf" Type="http://schemas.openxmlformats.org/officeDocument/2006/relationships/hyperlink" Id="rId10"/>
    <Relationship TargetMode="External" Target="https://www.legis.iowa.gov/docs/ico/chapter/26.14.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159.pdf" Type="http://schemas.openxmlformats.org/officeDocument/2006/relationships/hyperlink" Id="rId13"/>
    <Relationship TargetMode="External" Target="https://www.legis.iowa.gov/docs/ico/chapter/161A.pdf" Type="http://schemas.openxmlformats.org/officeDocument/2006/relationships/hyperlink" Id="rId14"/>
    <Relationship TargetMode="External" Target="https://www.legis.iowa.gov/docs/ico/chapter/207.pdf" Type="http://schemas.openxmlformats.org/officeDocument/2006/relationships/hyperlink" Id="rId15"/>
    <Relationship TargetMode="External" Target="https://www.legis.iowa.gov/docs/ico/chapter/208.pdf" Type="http://schemas.openxmlformats.org/officeDocument/2006/relationships/hyperlink" Id="rId16"/>
    <Relationship TargetMode="External" Target="https://www.legis.iowa.gov/docs/ico/chapter/26.3.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